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Škola:Osnovna škola Plaški</w:t>
      </w:r>
    </w:p>
    <w:p>
      <w:pPr>
        <w:pStyle w:val="Normal"/>
        <w:rPr/>
      </w:pPr>
      <w:r>
        <w:rPr>
          <w:rFonts w:cs="Times New Roman" w:ascii="Times New Roman" w:hAnsi="Times New Roman"/>
          <w:b/>
          <w:sz w:val="28"/>
          <w:szCs w:val="28"/>
        </w:rPr>
        <w:t>U</w:t>
      </w:r>
      <w:r>
        <w:rPr>
          <w:rFonts w:cs="Times New Roman" w:ascii="Times New Roman" w:hAnsi="Times New Roman"/>
          <w:b/>
          <w:sz w:val="28"/>
          <w:szCs w:val="28"/>
        </w:rPr>
        <w:t xml:space="preserve">čiteljica: </w:t>
      </w:r>
      <w:r>
        <w:rPr>
          <w:rFonts w:cs="Times New Roman" w:ascii="Times New Roman" w:hAnsi="Times New Roman"/>
          <w:b/>
          <w:bCs/>
          <w:sz w:val="28"/>
          <w:szCs w:val="28"/>
        </w:rPr>
        <w:t>Nikolina Ožanić</w:t>
      </w:r>
    </w:p>
    <w:p>
      <w:pPr>
        <w:pStyle w:val="Normal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Predmet: Hrvatski jezik</w:t>
      </w:r>
    </w:p>
    <w:p>
      <w:pPr>
        <w:pStyle w:val="Normal"/>
        <w:rPr/>
      </w:pPr>
      <w:r>
        <w:rPr>
          <w:rFonts w:cs="Times New Roman" w:ascii="Times New Roman" w:hAnsi="Times New Roman"/>
          <w:b/>
          <w:bCs/>
          <w:sz w:val="28"/>
          <w:szCs w:val="28"/>
        </w:rPr>
        <w:t>Razredni odjel:8.</w:t>
      </w:r>
      <w:r>
        <w:rPr>
          <w:rFonts w:cs="Times New Roman" w:ascii="Times New Roman" w:hAnsi="Times New Roman"/>
          <w:b/>
          <w:bCs/>
          <w:sz w:val="28"/>
          <w:szCs w:val="28"/>
        </w:rPr>
        <w:t>r.</w:t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color w:val="7030A0"/>
          <w:sz w:val="56"/>
          <w:szCs w:val="56"/>
        </w:rPr>
      </w:pPr>
      <w:r>
        <w:rPr>
          <w:rFonts w:cs="Times New Roman" w:ascii="Times New Roman" w:hAnsi="Times New Roman"/>
          <w:b/>
          <w:color w:val="7030A0"/>
          <w:sz w:val="56"/>
          <w:szCs w:val="56"/>
        </w:rPr>
      </w:r>
      <w:bookmarkStart w:id="0" w:name="_GoBack"/>
      <w:bookmarkStart w:id="1" w:name="_GoBack"/>
      <w:bookmarkEnd w:id="1"/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color w:val="7030A0"/>
          <w:sz w:val="56"/>
          <w:szCs w:val="56"/>
        </w:rPr>
        <w:t>KRITERIJI VREDNOVANJA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color w:val="7030A0"/>
          <w:sz w:val="56"/>
          <w:szCs w:val="56"/>
        </w:rPr>
      </w:pPr>
      <w:r>
        <w:rPr/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  <w:b/>
          <w:sz w:val="40"/>
          <w:szCs w:val="40"/>
        </w:rPr>
        <w:t xml:space="preserve"> </w:t>
      </w:r>
      <w:r>
        <w:rPr>
          <w:rFonts w:cs="Times New Roman" w:ascii="Times New Roman" w:hAnsi="Times New Roman"/>
          <w:b/>
          <w:sz w:val="40"/>
          <w:szCs w:val="40"/>
        </w:rPr>
        <w:t>za 8. razred</w:t>
      </w:r>
    </w:p>
    <w:p>
      <w:pPr>
        <w:pStyle w:val="Normal"/>
        <w:jc w:val="center"/>
        <w:rPr/>
      </w:pPr>
      <w:r>
        <w:rPr/>
      </w:r>
      <w:bookmarkStart w:id="2" w:name="_Hlk11518931"/>
      <w:bookmarkStart w:id="3" w:name="_Hlk16503421"/>
      <w:bookmarkStart w:id="4" w:name="_Hlk11518931"/>
      <w:bookmarkStart w:id="5" w:name="_Hlk16503421"/>
      <w:bookmarkEnd w:id="4"/>
      <w:bookmarkEnd w:id="5"/>
    </w:p>
    <w:p>
      <w:pPr>
        <w:pStyle w:val="Normal"/>
        <w:rPr>
          <w:rFonts w:ascii="Times New Roman" w:hAnsi="Times New Roman" w:cs="Times New Roman"/>
          <w:b/>
          <w:b/>
          <w:sz w:val="34"/>
          <w:szCs w:val="34"/>
        </w:rPr>
      </w:pPr>
      <w:r>
        <w:rPr>
          <w:rFonts w:cs="Times New Roman" w:ascii="Times New Roman" w:hAnsi="Times New Roman"/>
          <w:b/>
          <w:sz w:val="34"/>
          <w:szCs w:val="3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34"/>
          <w:szCs w:val="34"/>
        </w:rPr>
      </w:pPr>
      <w:r>
        <w:rPr>
          <w:rFonts w:cs="Times New Roman" w:ascii="Times New Roman" w:hAnsi="Times New Roman"/>
          <w:b/>
          <w:sz w:val="34"/>
          <w:szCs w:val="34"/>
        </w:rPr>
      </w:r>
    </w:p>
    <w:p>
      <w:pPr>
        <w:pStyle w:val="Normal"/>
        <w:rPr>
          <w:rFonts w:ascii="Times New Roman" w:hAnsi="Times New Roman" w:cs="Times New Roman"/>
          <w:b/>
          <w:b/>
          <w:sz w:val="34"/>
          <w:szCs w:val="34"/>
        </w:rPr>
      </w:pPr>
      <w:r>
        <w:rPr>
          <w:rFonts w:cs="Times New Roman" w:ascii="Times New Roman" w:hAnsi="Times New Roman"/>
          <w:b/>
          <w:sz w:val="34"/>
          <w:szCs w:val="34"/>
        </w:rPr>
      </w:r>
    </w:p>
    <w:p>
      <w:pPr>
        <w:pStyle w:val="Normal"/>
        <w:rPr>
          <w:rFonts w:ascii="Times New Roman" w:hAnsi="Times New Roman" w:cs="Times New Roman"/>
          <w:b/>
          <w:b/>
          <w:sz w:val="34"/>
          <w:szCs w:val="34"/>
        </w:rPr>
      </w:pPr>
      <w:r>
        <w:rPr>
          <w:rFonts w:cs="Times New Roman" w:ascii="Times New Roman" w:hAnsi="Times New Roman"/>
          <w:b/>
          <w:sz w:val="34"/>
          <w:szCs w:val="34"/>
        </w:rPr>
      </w:r>
    </w:p>
    <w:p>
      <w:pPr>
        <w:pStyle w:val="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i/>
          <w:i/>
          <w:iCs/>
          <w:color w:val="ED7D31" w:themeColor="accent2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ED7D31" w:themeColor="accent2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i/>
          <w:i/>
          <w:iCs/>
          <w:color w:val="ED7D31" w:themeColor="accent2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ED7D31" w:themeColor="accent2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i/>
          <w:i/>
          <w:iCs/>
          <w:color w:val="ED7D31" w:themeColor="accent2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ED7D31" w:themeColor="accent2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i/>
          <w:i/>
          <w:iCs/>
          <w:color w:val="ED7D31" w:themeColor="accent2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ED7D31" w:themeColor="accent2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i/>
          <w:i/>
          <w:iCs/>
          <w:color w:val="ED7D31" w:themeColor="accent2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ED7D31" w:themeColor="accent2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i/>
          <w:i/>
          <w:iCs/>
          <w:color w:val="ED7D31" w:themeColor="accent2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ED7D31" w:themeColor="accent2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i/>
          <w:i/>
          <w:iCs/>
          <w:color w:val="ED7D31" w:themeColor="accent2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ED7D31" w:themeColor="accent2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i/>
          <w:i/>
          <w:iCs/>
          <w:color w:val="ED7D31" w:themeColor="accent2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ED7D31" w:themeColor="accent2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i/>
          <w:i/>
          <w:iCs/>
          <w:color w:val="ED7D31" w:themeColor="accent2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ED7D31" w:themeColor="accent2"/>
          <w:sz w:val="24"/>
          <w:szCs w:val="24"/>
        </w:rPr>
      </w:r>
    </w:p>
    <w:p>
      <w:pPr>
        <w:pStyle w:val="Normal"/>
        <w:rPr>
          <w:rFonts w:ascii="Times New Roman" w:hAnsi="Times New Roman" w:cs="Times New Roman"/>
          <w:b/>
          <w:b/>
          <w:bCs/>
          <w:i/>
          <w:i/>
          <w:iCs/>
          <w:color w:val="ED7D31" w:themeColor="accent2"/>
          <w:sz w:val="24"/>
          <w:szCs w:val="24"/>
        </w:rPr>
      </w:pPr>
      <w:r>
        <w:rPr>
          <w:rFonts w:cs="Times New Roman" w:ascii="Times New Roman" w:hAnsi="Times New Roman"/>
          <w:b/>
          <w:bCs/>
          <w:i/>
          <w:iCs/>
          <w:color w:val="ED7D31" w:themeColor="accent2"/>
          <w:sz w:val="24"/>
          <w:szCs w:val="24"/>
        </w:rPr>
      </w:r>
      <w:bookmarkStart w:id="6" w:name="_Hlk46925679"/>
      <w:bookmarkStart w:id="7" w:name="_Hlk46409638"/>
      <w:bookmarkStart w:id="8" w:name="_Hlk46925679"/>
      <w:bookmarkStart w:id="9" w:name="_Hlk46409638"/>
      <w:bookmarkEnd w:id="8"/>
      <w:bookmarkEnd w:id="9"/>
    </w:p>
    <w:tbl>
      <w:tblPr>
        <w:tblStyle w:val="TableGrid"/>
        <w:tblW w:w="1410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91"/>
        <w:gridCol w:w="2877"/>
        <w:gridCol w:w="3008"/>
        <w:gridCol w:w="2918"/>
        <w:gridCol w:w="2812"/>
      </w:tblGrid>
      <w:tr>
        <w:trPr>
          <w:trHeight w:val="570" w:hRule="atLeast"/>
        </w:trPr>
        <w:tc>
          <w:tcPr>
            <w:tcW w:w="14106" w:type="dxa"/>
            <w:gridSpan w:val="5"/>
            <w:tcBorders/>
            <w:shd w:color="auto" w:fill="BA8CDC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sz w:val="28"/>
                <w:szCs w:val="28"/>
                <w:lang w:eastAsia="hr-HR"/>
              </w:rPr>
              <w:t>HRVATSKI JEZIK I KOMUNIKACIJA</w:t>
            </w:r>
          </w:p>
        </w:tc>
      </w:tr>
      <w:tr>
        <w:trPr>
          <w:trHeight w:val="426" w:hRule="atLeast"/>
        </w:trPr>
        <w:tc>
          <w:tcPr>
            <w:tcW w:w="2491" w:type="dxa"/>
            <w:vMerge w:val="restart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ODGOJNO-OBRAZOVNI ISHOD</w:t>
            </w:r>
          </w:p>
        </w:tc>
        <w:tc>
          <w:tcPr>
            <w:tcW w:w="11615" w:type="dxa"/>
            <w:gridSpan w:val="4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RAZINA USVOJENOSTI ISHODA I PODISHODA</w:t>
            </w:r>
          </w:p>
        </w:tc>
      </w:tr>
      <w:tr>
        <w:trPr>
          <w:trHeight w:val="416" w:hRule="atLeast"/>
        </w:trPr>
        <w:tc>
          <w:tcPr>
            <w:tcW w:w="2491" w:type="dxa"/>
            <w:vMerge w:val="continue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hr-HR"/>
              </w:rPr>
            </w:r>
          </w:p>
        </w:tc>
        <w:tc>
          <w:tcPr>
            <w:tcW w:w="2877" w:type="dxa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DOVOLJNA</w:t>
            </w:r>
          </w:p>
        </w:tc>
        <w:tc>
          <w:tcPr>
            <w:tcW w:w="3008" w:type="dxa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DOBRA</w:t>
            </w:r>
          </w:p>
        </w:tc>
        <w:tc>
          <w:tcPr>
            <w:tcW w:w="2918" w:type="dxa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VRLO DOBRA</w:t>
            </w:r>
          </w:p>
        </w:tc>
        <w:tc>
          <w:tcPr>
            <w:tcW w:w="2812" w:type="dxa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ODLIČNA</w:t>
            </w:r>
          </w:p>
        </w:tc>
      </w:tr>
      <w:tr>
        <w:trPr>
          <w:trHeight w:val="1246" w:hRule="atLeast"/>
        </w:trPr>
        <w:tc>
          <w:tcPr>
            <w:tcW w:w="2491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  <w:t>OŠ HJ A.8.1.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  <w:t>Učenik govori i razgovara u skladu sa svrhom govorenja i sudjeluje u planiranoj raspravi.</w:t>
            </w:r>
          </w:p>
        </w:tc>
        <w:tc>
          <w:tcPr>
            <w:tcW w:w="287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uz pomoć učitelja izlaže na zadanu/odabranu temu, rijetko sudjeluje u spontanoj i planiranoj raspravi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izlaže na zadanu/odabranu temu djelomično jasno i sustavno te povremeno sudjeluje u spontanoj i planiranoj raspravi</w:t>
            </w:r>
          </w:p>
        </w:tc>
        <w:tc>
          <w:tcPr>
            <w:tcW w:w="291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izlaže na zadanu/odabranu temu uglavnom jasno i sustavno te često sudjeluje u spontanoj i planiranoj raspravi</w:t>
            </w:r>
          </w:p>
        </w:tc>
        <w:tc>
          <w:tcPr>
            <w:tcW w:w="2812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izlaže na zadanu/odabranu temu jasno i sustavno te redovito sudjeluje u spontanoj i planiranoj raspravi</w:t>
            </w:r>
          </w:p>
        </w:tc>
      </w:tr>
      <w:tr>
        <w:trPr>
          <w:trHeight w:val="831" w:hRule="atLeast"/>
        </w:trPr>
        <w:tc>
          <w:tcPr>
            <w:tcW w:w="2491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color w:val="7030A0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</w:r>
          </w:p>
        </w:tc>
        <w:tc>
          <w:tcPr>
            <w:tcW w:w="2877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samostalno govori tekst u skladu sa svrhom govorenja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izvodi prethodno pripremljenu prezentaciju različitih sadržaja uz vizualna pomagala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primjenjuje vještine razgovora u skupini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raspravlja spontano, uz pomoć učitelja sudjeluje u planiranoj i pripremljenoj raspravi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razgovijetno govori primjenjujući govorne vrednote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izbjegava pogreške u govoru, zastajkivanja, samoispravljanja, izbjegava zamuckivanje i poštapalice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se uživljava u sadržaj govoreći s uvjerenjem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samostalno govori tekst u skladu sa svrhom govorenja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izvodi prethodno pripremljenu prezentaciju različitih sadržaja uz vizualna pomagala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primjenjuje vještine razgovora u skupini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raspravlja spontano, djelomično samostalno sudjeluje u planiranoj i pripremljenoj raspravi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razgovijetno govori primjenjujući govorne vrednote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izbjegava pogreške u govoru, zastajkivanja, samoispravljanja, izbjegava zamuckivanje i poštapalice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se uživljava u sadržaj govoreći s uvjerenjem</w:t>
            </w:r>
          </w:p>
        </w:tc>
        <w:tc>
          <w:tcPr>
            <w:tcW w:w="2918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govori tekst u skladu sa svrhom govorenja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izvodi prethodno pripremljenu prezentaciju različitih sadržaja uz vizualna pomagala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primjenjuje vještine razgovora u skupini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raspravlja spontano ili u planiranoj i pripremljenoj raspravi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razgovijetno govori primjenjujući govorne vrednote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izbjegava pogreške u govoru, zastajkivanja, samoispravljanja, izbjegava zamuckivanje i poštapalice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se uživljava u sadržaj govoreći s uvjerenjem</w:t>
            </w:r>
          </w:p>
        </w:tc>
        <w:tc>
          <w:tcPr>
            <w:tcW w:w="2812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govori tekst u skladu sa svrhom govorenja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izvodi prethodno pripremljenu prezentaciju različitih sadržaja uz vizualna pomagala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primjenjuje vještine razgovora u skupini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raspravlja spontano ili u planiranoj i pripremljenoj raspravi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razgovijetno govori primjenjujući govorne vrednote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izbjegava pogreške u govoru, zastajkivanja, samoispravljanja, izbjegava zamuckivanje i poštapalice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uživljava se u sadržaj govoreći s uvjerenjem</w:t>
            </w:r>
          </w:p>
        </w:tc>
      </w:tr>
    </w:tbl>
    <w:p>
      <w:pPr>
        <w:pStyle w:val="Normal"/>
        <w:rPr/>
      </w:pPr>
      <w:r>
        <w:rPr/>
      </w:r>
      <w:r>
        <w:br w:type="page"/>
      </w:r>
    </w:p>
    <w:tbl>
      <w:tblPr>
        <w:tblStyle w:val="TableGrid"/>
        <w:tblW w:w="1410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91"/>
        <w:gridCol w:w="2877"/>
        <w:gridCol w:w="3008"/>
        <w:gridCol w:w="2918"/>
        <w:gridCol w:w="2812"/>
      </w:tblGrid>
      <w:tr>
        <w:trPr>
          <w:trHeight w:val="831" w:hRule="atLeast"/>
        </w:trPr>
        <w:tc>
          <w:tcPr>
            <w:tcW w:w="2491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pageBreakBefore/>
              <w:rPr>
                <w:rFonts w:ascii="Times New Roman" w:hAnsi="Times New Roman"/>
                <w:b/>
                <w:b/>
                <w:bCs/>
                <w:color w:val="7030A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  <w:t>OŠ HJ A.8.2.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  <w:t>Učenik sluša tekst, prosuđuje značenje teksta i povezuje ga sa stečenim znanjem i iskustvom.</w:t>
            </w:r>
          </w:p>
        </w:tc>
        <w:tc>
          <w:tcPr>
            <w:tcW w:w="287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sluša tekst, uz pomoć učitelja sintetizira sadržaj slušanoga teksta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sluša tekst, djelomično samostalno sintetizira sadržaj slušanoga teksta</w:t>
            </w:r>
          </w:p>
        </w:tc>
        <w:tc>
          <w:tcPr>
            <w:tcW w:w="291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sluša tekst, uglavnom samostalno sintetizira sadržaj slušanoga teksta</w:t>
            </w:r>
          </w:p>
        </w:tc>
        <w:tc>
          <w:tcPr>
            <w:tcW w:w="2812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sluša tekst, samostalno sintetizira sadržaj slušanoga teksta</w:t>
            </w:r>
          </w:p>
        </w:tc>
      </w:tr>
      <w:tr>
        <w:trPr>
          <w:trHeight w:val="840" w:hRule="atLeast"/>
        </w:trPr>
        <w:tc>
          <w:tcPr>
            <w:tcW w:w="2491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color w:val="7030A0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</w:r>
          </w:p>
        </w:tc>
        <w:tc>
          <w:tcPr>
            <w:tcW w:w="2877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sluša tekst u različite svrhe: osobna i javna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razlikuje kritičko slušanje: usmjereno na procjenu slušanoga teksta, od drugih vrsta slušanja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procjenjuje podatke iz slušanoga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sintetizira sadržaj slušanoga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prosuđuje slušani tekst i proširuje njegovo značenje na temelju stečenoga znanja i iskustva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objašnjava značenje nepoznatih riječi služeći se različitim izvorima: živa riječ, narodna i školska knjižnica, internet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sluša tekst u različite svrhe: osobna i javna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razlikuje kritičko slušanje: usmjereno na procjenu slušanoga teksta, od drugih vrsta slušanja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procjenjuje podatke iz slušanoga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sintetizira sadržaj slušanoga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prosuđuje slušani tekst i proširuje njegovo značenje na temelju stečenoga znanja i iskustva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objašnjava značenje nepoznatih riječi služeći se različitim izvorima: živa riječ, narodna i školska knjižnica, internet</w:t>
            </w:r>
          </w:p>
        </w:tc>
        <w:tc>
          <w:tcPr>
            <w:tcW w:w="2918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sluša tekst u različite svrhe: osobna i javna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razlikuje kritičko slušanje: usmjereno na procjenu slušanoga teksta, od drugih vrsta slušanja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procjenjuje podatke iz slušanoga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sintetizira sadržaj slušanoga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prosuđuje slušani tekst i proširuje njegovo značenje na temelju stečenoga znanja i iskustva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objašnjava značenje nepoznatih riječi služeći se različitim izvorima: živa riječ, narodna i školska knjižnica, internet</w:t>
            </w:r>
          </w:p>
        </w:tc>
        <w:tc>
          <w:tcPr>
            <w:tcW w:w="2812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sluša tekst u različite svrhe: osobna i javna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razlikuje kritičko slušanje: usmjereno na procjenu slušanoga teksta, od drugih vrsta slušanja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procjenjuje podatke iz slušanoga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sintetizira sadržaj slušanoga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prosuđuje slušani tekst i proširuje njegovo značenje na temelju stečenoga znanja i iskustva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objašnjava značenje nepoznatih riječi služeći se različitim izvorima: živa riječ, narodna i školska knjižnica, internet</w:t>
            </w:r>
          </w:p>
        </w:tc>
      </w:tr>
      <w:tr>
        <w:trPr>
          <w:trHeight w:val="840" w:hRule="atLeast"/>
        </w:trPr>
        <w:tc>
          <w:tcPr>
            <w:tcW w:w="2491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  <w:t>OŠ HJ A.8.3.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  <w:t>Učenik čita tekst, prosuđuje značenje teksta i povezuje ga s prethodnim znanjem i iskustvom.</w:t>
            </w:r>
          </w:p>
        </w:tc>
        <w:tc>
          <w:tcPr>
            <w:tcW w:w="287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čita tekst, uz pomoć učitelja sintetizira sadržaj pročitanoga teksta stvarajući vizualne prikaze i grafičke organizatore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čita tekst, djelomično samostalno sintetizira sadržaj pročitanoga teksta stvarajući vizualne prikaze i grafičke organizatore</w:t>
            </w:r>
          </w:p>
        </w:tc>
        <w:tc>
          <w:tcPr>
            <w:tcW w:w="291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čita tekst, uglavnom samostalno sintetizira sadržaj pročitanoga teksta stvarajući vizualne prikaze i grafičke organizatore</w:t>
            </w:r>
          </w:p>
        </w:tc>
        <w:tc>
          <w:tcPr>
            <w:tcW w:w="2812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čita tekst, samostalno sintetizira sadržaj pročitanoga teksta stvarajući vizualne prikaze i grafičke organizatore</w:t>
            </w:r>
          </w:p>
        </w:tc>
      </w:tr>
      <w:tr>
        <w:trPr>
          <w:trHeight w:val="850" w:hRule="atLeast"/>
        </w:trPr>
        <w:tc>
          <w:tcPr>
            <w:tcW w:w="2491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color w:val="7030A0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</w:r>
          </w:p>
        </w:tc>
        <w:tc>
          <w:tcPr>
            <w:tcW w:w="2877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samostalno čita tekst u različite svrhe: osobna i javna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uočava kako slikovni elementi i grafička struktura teksta utječu na razumijevanje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organizira i objedinjuje važne podatke iz čitanoga teksta u sažetak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stvara vizualne prikaze (npr. plakate), grafičke organizatore (npr. Vennov dijagram, strukturirane mape) sintetizirajući sadržaj pročitanoga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uspoređuje podatke iz različitih izvora radi procjene pouzdanosti, točnosti i autorstva u skladu sa zadatkom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prosuđuje čitani tekst na temelju prethodnoga znanja i iskustva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proširuje značenje čitanoga teksta čitajući nove tekstove iste ili slične tematike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objašnjava značenje nepoznatih riječi služeći se različitim izvorima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čita tekst u različite svrhe: osobna i javna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uočava kako slikovni elementi i grafička struktura teksta utječu na razumijevanje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organizira i objedinjuje važne podatke iz čitanoga teksta u sažetak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stvara vizualne prikaze (npr. plakate), grafičke organizatore (npr. Vennov dijagram, strukturirane mape) sintetizirajući sadržaj pročitanoga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uspoređuje podatke iz različitih izvora radi procjene pouzdanosti, točnosti i autorstva u skladu sa zadatkom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prosuđuje čitani tekst na temelju prethodnoga znanja i iskustva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proširuje značenje čitanoga teksta čitajući nove tekstove iste ili slične tematike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objašnjava značenje nepoznatih riječi služeći se različitim izvorima</w:t>
            </w:r>
          </w:p>
        </w:tc>
        <w:tc>
          <w:tcPr>
            <w:tcW w:w="2918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čita tekst u različite svrhe: osobna i javna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uočava kako slikovni elementi i grafička struktura teksta utječu na razumijevanje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organizira i objedinjuje važne podatke iz čitanoga teksta u sažetak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stvara vizualne prikaze (npr. plakate), grafičke organizatore (npr. Vennov dijagram, strukturirane mape) sintetizirajući sadržaj pročitanoga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uspoređuje podatke iz različitih izvora radi procjene pouzdanosti, točnosti i autorstva u skladu sa zadatkom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prosuđuje čitani tekst na temelju prethodnoga znanja i iskustva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često proširuje značenje čitanoga teksta čitajući nove tekstove iste ili slične tematike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objašnjava značenje nepoznatih riječi služeći se različitim izvorima</w:t>
            </w:r>
          </w:p>
        </w:tc>
        <w:tc>
          <w:tcPr>
            <w:tcW w:w="2812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čita tekst u različite svrhe: osobna i javna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uočava kako slikovni elementi i grafička struktura teksta utječu na razumijevanje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organizira i objedinjuje važne podatke iz čitanoga teksta u sažetak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stvara vizualne prikaze (npr. plakate), grafičke organizatore (npr. Vennov dijagram, strukturirane mape) sintetizirajući sadržaj pročitanoga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uspoređuje podatke iz različitih izvora radi procjene pouzdanosti, točnosti i autorstva u skladu sa zadatkom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prosuđuje čitani tekst na temelju prethodnoga znanja i iskustva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redovito povremeno proširuje značenje čitanoga teksta čitajući nove tekstove iste ili slične tematike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objašnjava značenje nepoznatih riječi služeći se različitim izvorima</w:t>
            </w:r>
          </w:p>
        </w:tc>
      </w:tr>
      <w:tr>
        <w:trPr>
          <w:trHeight w:val="1130" w:hRule="atLeast"/>
        </w:trPr>
        <w:tc>
          <w:tcPr>
            <w:tcW w:w="2491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  <w:t>OŠ HJ A.8.4.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  <w:t>Učenik piše raspravljačke tekstove u skladu s temom i prema planu.</w:t>
            </w:r>
          </w:p>
        </w:tc>
        <w:tc>
          <w:tcPr>
            <w:tcW w:w="287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uz pomoć učitelja piše raspravljački tekst izražavajući vlastiti stav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djelomično samostalno piše raspravljački tekst izražavajući vlastiti stav</w:t>
            </w:r>
          </w:p>
        </w:tc>
        <w:tc>
          <w:tcPr>
            <w:tcW w:w="291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uglavnom samostalno piše raspravljački tekst izražavajući vlastiti stav</w:t>
            </w:r>
          </w:p>
        </w:tc>
        <w:tc>
          <w:tcPr>
            <w:tcW w:w="2812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samostalno piše raspravljački tekst izražavajući vlastiti stav</w:t>
            </w:r>
          </w:p>
        </w:tc>
      </w:tr>
      <w:tr>
        <w:trPr>
          <w:trHeight w:val="711" w:hRule="atLeast"/>
        </w:trPr>
        <w:tc>
          <w:tcPr>
            <w:tcW w:w="2491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877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pristupa temi s istraživačkoga, problemskog i kritičkog gledišta te nudi moguća rješenja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istražuje temu uzimajući u obzir različite dokaze, primjere i iskustva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na poticaj i uz pomoć učitelja izražava stav i oblikuje temu iznoseći predodžbe, misli, znanja, asocijacije, stavove, prosudbe, iskustva i osjećaje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određuje način pristupa temi i s tim usklađuje stilski izraz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piše tekst s prepoznatljivom komunikacijskom funkcijom u kojem dolaze do izražaja: svjesnost i proces razlaganja zamisli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dorađuje, skraćuje i jezično dotjeruje tekst za predstavljanje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izabire slikovni materijal koji pojašnjava tekst koji piše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piše tekst u zadanim veličinama s obzirom na vrijeme i dužina teksta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točno piše veliko početno slovo u jednorječnim i višerječnim imenima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točno piše pravopisne znakove u rečenici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pristupa temi s istraživačkoga, problemskog i kritičkog gledišta te nudi moguća rješenja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istražuje temu uzimajući u obzir različite dokaze, primjere i iskustva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jasno izražava stav i oblikuje temu iznoseći predodžbe, misli, znanja, asocijacije, stavove, prosudbe, iskustva i osjećaje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određuje način pristupa temi i s tim usklađuje stilski izraz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piše tekst s prepoznatljivom komunikacijskom funkcijom u kojem dolaze do izražaja: svjesnost i proces razlaganja zamisli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dorađuje, skraćuje i jezično dotjeruje tekst za predstavljanje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izabire slikovni materijal koji pojašnjava tekst koji piše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piše tekst u zadanim veličinama s obzirom na vrijeme i dužina teksta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točno piše veliko početno slovo u jednorječnim i višerječnim imenima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točno piše pravopisne znakove u rečenici</w:t>
            </w:r>
          </w:p>
        </w:tc>
        <w:tc>
          <w:tcPr>
            <w:tcW w:w="2918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pristupa temi s istraživačkoga, problemskog i kritičkog gledišta te nudi moguća rješenja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istražuje temu uzimajući u obzir različite dokaze, primjere i iskustva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jasno izražava stav i oblikuje temu iznoseći predodžbe, misli, znanja, asocijacije, stavove, prosudbe, iskustva i osjećaje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određuje način pristupa temi i s tim usklađuje stilski izraz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piše tekst s prepoznatljivom komunikacijskom funkcijom u kojem dolaze do izražaja: svjesnost i proces razlaganja zamisli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dorađuje, skraćuje i jezično dotjeruje tekst za predstavljanje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izabire slikovni materijal koji pojašnjava tekst koji piše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piše tekst u zadanim veličinama s obzirom na vrijeme i dužina teksta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točno piše veliko početno slovo u jednorječnim i višerječnim imenima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točno piše pravopisne znakove u rečenici</w:t>
            </w:r>
          </w:p>
        </w:tc>
        <w:tc>
          <w:tcPr>
            <w:tcW w:w="2812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pristupa temi s istraživačkoga, problemskog i kritičkog gledišta te nudi moguća rješenja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istražuje temu uzimajući u obzir različite dokaze, primjere i iskustva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jasno izražava stav i oblikuje temu iznoseći predodžbe, misli, znanja, asocijacije, stavove, prosudbe, iskustva i osjećaje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određuje način pristupa temi i s tim usklađuje stilski izraz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piše tekst s prepoznatljivom komunikacijskom funkcijom u kojem dolaze do izražaja: svjesnost i proces razlaganja zamisli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dorađuje, skraćuje i jezično dotjeruje tekst za predstavljanje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izabire slikovni materijal koji pojašnjava tekst koji piše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piše tekst u zadanim veličinama s obzirom na vrijeme i dužina teksta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točno piše veliko početno slovo u jednorječnim i višerječnim imenima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točno piše pravopisne znakove u rečenici</w:t>
            </w:r>
          </w:p>
        </w:tc>
      </w:tr>
      <w:tr>
        <w:trPr>
          <w:trHeight w:val="1130" w:hRule="atLeast"/>
        </w:trPr>
        <w:tc>
          <w:tcPr>
            <w:tcW w:w="2491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  <w:t xml:space="preserve">OŠ HJ A.8.5. 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  <w:t>Učenik oblikuje tekst i primjenjuje znanja o rečenicama po sastavu na oglednim i čestim primjerima.</w:t>
            </w:r>
          </w:p>
        </w:tc>
        <w:tc>
          <w:tcPr>
            <w:tcW w:w="287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rijetko točno razlikuje jednostavne od složenih rečenica na temelju gramatičkog ustrojstva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djelomično točno razlikuje jednostavne od složenih rečenica na temelju gramatičkog ustrojstva</w:t>
            </w:r>
          </w:p>
        </w:tc>
        <w:tc>
          <w:tcPr>
            <w:tcW w:w="291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uglavnom točno razlikuje jednostavne od složenih rečenica na temelju gramatičkog ustrojstva</w:t>
            </w:r>
          </w:p>
        </w:tc>
        <w:tc>
          <w:tcPr>
            <w:tcW w:w="2812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točno razlikuje jednostavne od složenih rečenica na temelju gramatičkog ustrojstva</w:t>
            </w:r>
          </w:p>
        </w:tc>
      </w:tr>
      <w:tr>
        <w:trPr>
          <w:trHeight w:val="1130" w:hRule="atLeast"/>
        </w:trPr>
        <w:tc>
          <w:tcPr>
            <w:tcW w:w="2491" w:type="dxa"/>
            <w:vMerge w:val="continue"/>
            <w:tcBorders/>
            <w:shd w:fill="auto" w:val="clea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color w:val="7030A0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</w:r>
          </w:p>
        </w:tc>
        <w:tc>
          <w:tcPr>
            <w:tcW w:w="2877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razlikuje jednostavne i složene rečenice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objašnjava složene rečenice s obzirom na broj predikata i s obzirom na vrstu sklapanja surečenica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razlikuje vrste nezavisnosloženih rečenica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razlikuje odnosne i neodređene zamjenice u službi vezničkih riječi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priložnu rečenicu izriče glagolskim prilozima (preoblika)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razlikuje vrste zavisnosloženih rečenica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točno razlikuje jednostavne i složene rečenice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točno objašnjava složene rečenice s obzirom na broj predikata i s obzirom na vrstu sklapanja surečenica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točno razlikuje vrste nezavisnosloženih rečenica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točno razlikuje odnosne i neodređene zamjenice u službi vezničkih riječi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točno priložnu rečenicu izriče glagolskim prilozima (preoblika)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točno razlikuje vrste zavisnosloženih rečenica</w:t>
            </w:r>
          </w:p>
        </w:tc>
        <w:tc>
          <w:tcPr>
            <w:tcW w:w="2918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točno razlikuje jednostavne i složene rečenice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točno objašnjava složene rečenice s obzirom na broj predikata i s obzirom na vrstu sklapanja surečenica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točno razlikuje vrste nezavisnosloženih rečenica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točno razlikuje odnosne i neodređene zamjenice u službi vezničkih riječi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točno priložnu rečenicu izriče glagolskim prilozima (preoblika)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točno razlikuje vrste zavisnosloženih rečenica</w:t>
            </w:r>
          </w:p>
        </w:tc>
        <w:tc>
          <w:tcPr>
            <w:tcW w:w="2812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točno razlikuje jednostavne i složene rečenice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točno objašnjava složene rečenice s obzirom na broj predikata i s obzirom na vrstu sklapanja surečenica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točno razlikuje vrste nezavisnosloženih rečenica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točno razlikuje odnosne i neodređene zamjenice u službi vezničkih riječi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točno priložnu rečenicu izriče glagolskim prilozima (preoblika)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točno razlikuje vrste zavisnosloženih rečenica</w:t>
            </w:r>
          </w:p>
        </w:tc>
      </w:tr>
      <w:tr>
        <w:trPr>
          <w:trHeight w:val="1130" w:hRule="atLeast"/>
        </w:trPr>
        <w:tc>
          <w:tcPr>
            <w:tcW w:w="2491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  <w:t>OŠ HJ A.8.6.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  <w:t>Učenik uspoređuje različite odnose među riječima te objašnjava njihovo značenje u različitim  kontekstima.</w:t>
            </w:r>
          </w:p>
        </w:tc>
        <w:tc>
          <w:tcPr>
            <w:tcW w:w="287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uz pomoć učitelja objašnjava značenje riječi s obzirom na kontekst</w:t>
            </w:r>
          </w:p>
        </w:tc>
        <w:tc>
          <w:tcPr>
            <w:tcW w:w="300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djelomično samostalno objašnjava značenje riječi s obzirom na kontekst</w:t>
            </w:r>
          </w:p>
        </w:tc>
        <w:tc>
          <w:tcPr>
            <w:tcW w:w="2918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uglavnom samostalno objašnjava značenje riječi s obzirom na kontekst</w:t>
            </w:r>
          </w:p>
        </w:tc>
        <w:tc>
          <w:tcPr>
            <w:tcW w:w="2812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samostalno objašnjava značenje riječi s obzirom na kontekst</w:t>
            </w:r>
          </w:p>
        </w:tc>
      </w:tr>
      <w:tr>
        <w:trPr>
          <w:trHeight w:val="566" w:hRule="atLeast"/>
        </w:trPr>
        <w:tc>
          <w:tcPr>
            <w:tcW w:w="2491" w:type="dxa"/>
            <w:vMerge w:val="continue"/>
            <w:tcBorders/>
            <w:shd w:fill="auto" w:val="clea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877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objašnjava značenja riječi i njihovu ulogu u rečenici radi razumijevanja i stvaranja tekstova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prepoznaje različite uloge istoznačnih i suprotnih riječi u kontekstu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rijeko točno objašnjava česte frazeme i funkcionalno ih uklapa u vlastiti govor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rijetko prepoznaje pleonazme kao suvišne riječi u govoru i pismu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uočava posuđenice i riječi iz stranih jezika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objašnjava značenje i svrhu neologizama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uz pomoć učitelja služi se hrvatskim jezičnim savjetnicima u tiskanome i digitalnome obliku </w:t>
            </w:r>
          </w:p>
        </w:tc>
        <w:tc>
          <w:tcPr>
            <w:tcW w:w="3008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točno objašnjava značenja riječi i njihovu ulogu u rečenici radi razumijevanja i stvaranja tekstova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točno prepoznaje različite uloge istoznačnih i suprotnih riječi u kontekstu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točno objašnjava česte frazeme i funkcionalno ih uklapa u vlastiti govor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povremeno prepoznaje pleonazme kao suvišne riječi u govoru i pismu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točno uočava posuđenice i riječi iz stranih jezika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točno objašnjava značenje i svrhu neologizama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djelomično se samostalno služi hrvatskim jezičnim savjetnicima u tiskanome i digitalnome obliku </w:t>
            </w:r>
          </w:p>
        </w:tc>
        <w:tc>
          <w:tcPr>
            <w:tcW w:w="2918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točno objašnjava značenja riječi i njihovu ulogu u rečenici radi razumijevanja i stvaranja tekstova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točno prepoznaje različite uloge istoznačnih i suprotnih riječi u kontekstu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točno objašnjava česte frazeme i funkcionalno ih uklapa u vlastiti govor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prepoznaje pleonazme kao suvišne riječi u govoru i pismu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točno uočava posuđenice i riječi iz stranih jezika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točno objašnjava značenje i svrhu neologizama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uglavnom se samostalno služi hrvatskim jezičnim savjetnicima u tiskanome i digitalnome obliku </w:t>
            </w:r>
          </w:p>
        </w:tc>
        <w:tc>
          <w:tcPr>
            <w:tcW w:w="2812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točno objašnjava značenja riječi i njihovu ulogu u rečenici radi razumijevanja i stvaranja tekstova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točno prepoznaje različite uloge istoznačnih i suprotnih riječi u kontekstu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točno objašnjava česte frazeme i funkcionalno ih uklapa u vlastiti govor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prepoznaje pleonazme kao suvišne riječi u govoru i pismu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uočava posuđenice i riječi iz stranih jezika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točno objašnjava značenje i svrhu neologizama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samostalno se služi hrvatskim jezičnim savjetnicima u tiskanome i digitalnome obliku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eGrid"/>
        <w:tblW w:w="1410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472"/>
        <w:gridCol w:w="2906"/>
        <w:gridCol w:w="2975"/>
        <w:gridCol w:w="2937"/>
        <w:gridCol w:w="2816"/>
      </w:tblGrid>
      <w:tr>
        <w:trPr>
          <w:trHeight w:val="570" w:hRule="atLeast"/>
        </w:trPr>
        <w:tc>
          <w:tcPr>
            <w:tcW w:w="14106" w:type="dxa"/>
            <w:gridSpan w:val="5"/>
            <w:tcBorders/>
            <w:shd w:color="auto" w:fill="BA8CDC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sz w:val="28"/>
                <w:szCs w:val="28"/>
                <w:lang w:eastAsia="hr-HR"/>
              </w:rPr>
              <w:t>KNJIŽEVNOST I STVARALAŠTVO</w:t>
            </w:r>
          </w:p>
        </w:tc>
      </w:tr>
      <w:tr>
        <w:trPr>
          <w:trHeight w:val="426" w:hRule="atLeast"/>
        </w:trPr>
        <w:tc>
          <w:tcPr>
            <w:tcW w:w="2472" w:type="dxa"/>
            <w:vMerge w:val="restart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ODGOJNO-OBRAZOVNI ISHOD</w:t>
            </w:r>
          </w:p>
        </w:tc>
        <w:tc>
          <w:tcPr>
            <w:tcW w:w="11634" w:type="dxa"/>
            <w:gridSpan w:val="4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RAZINA USVOJENOSTI ISHODA I PODISHODA</w:t>
            </w:r>
          </w:p>
        </w:tc>
      </w:tr>
      <w:tr>
        <w:trPr>
          <w:trHeight w:val="416" w:hRule="atLeast"/>
        </w:trPr>
        <w:tc>
          <w:tcPr>
            <w:tcW w:w="2472" w:type="dxa"/>
            <w:vMerge w:val="continue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hr-HR"/>
              </w:rPr>
            </w:r>
          </w:p>
        </w:tc>
        <w:tc>
          <w:tcPr>
            <w:tcW w:w="2906" w:type="dxa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DOVOLJNA</w:t>
            </w:r>
          </w:p>
        </w:tc>
        <w:tc>
          <w:tcPr>
            <w:tcW w:w="2975" w:type="dxa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DOBRA</w:t>
            </w:r>
          </w:p>
        </w:tc>
        <w:tc>
          <w:tcPr>
            <w:tcW w:w="2937" w:type="dxa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VRLO DOBRA</w:t>
            </w:r>
          </w:p>
        </w:tc>
        <w:tc>
          <w:tcPr>
            <w:tcW w:w="2816" w:type="dxa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ODLIČNA</w:t>
            </w:r>
          </w:p>
        </w:tc>
      </w:tr>
      <w:tr>
        <w:trPr>
          <w:trHeight w:val="1246" w:hRule="atLeast"/>
        </w:trPr>
        <w:tc>
          <w:tcPr>
            <w:tcW w:w="2472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  <w:t xml:space="preserve">OŠ HJ B.8.1. 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  <w:t>Učenik obrazlaže odnos proživljenoga iskustva i iskustva stečenoga čitanjem književnih tekstova.</w:t>
            </w:r>
          </w:p>
        </w:tc>
        <w:tc>
          <w:tcPr>
            <w:tcW w:w="290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7030A0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rijeko stavlja u odnos proživljeno iskustvo i iskustvo stečeno čitanjem književnih tekstova navodeći konkretne primjere</w:t>
            </w:r>
          </w:p>
        </w:tc>
        <w:tc>
          <w:tcPr>
            <w:tcW w:w="2975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7030A0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povremeno stavlja u odnos proživljeno iskustvo i iskustvo stečeno čitanjem književnih tekstova navodeći konkretne primjere</w:t>
            </w:r>
          </w:p>
        </w:tc>
        <w:tc>
          <w:tcPr>
            <w:tcW w:w="293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7030A0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uglavnom stavlja u odnos proživljeno iskustvo i iskustvo stečeno čitanjem književnih tekstova navodeći konkretne primjere</w:t>
            </w:r>
          </w:p>
        </w:tc>
        <w:tc>
          <w:tcPr>
            <w:tcW w:w="281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7030A0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redovito stavlja u odnos proživljeno iskustvo i iskustvo stečeno čitanjem književnih tekstova navodeći konkretne primjere</w:t>
            </w:r>
          </w:p>
        </w:tc>
      </w:tr>
      <w:tr>
        <w:trPr>
          <w:trHeight w:val="831" w:hRule="atLeast"/>
        </w:trPr>
        <w:tc>
          <w:tcPr>
            <w:tcW w:w="2472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color w:val="7030A0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</w:r>
          </w:p>
        </w:tc>
        <w:tc>
          <w:tcPr>
            <w:tcW w:w="2906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uz pomoć učitelja povezuje vlastiti spoznajni i osjećajni doživljaj da bi stvorio cjelovitu sliku o književnome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uz pomoć učitelja uočava da je u književnome tekstu riječ o svijetu i čovjeku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uz pomoć učitelja rješava različite problemske vršnjačke situacije pomoću različitih oblika priča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uz pomoć učitelja izražava vlastitu procjenu etičke, estetske i idejne razine književnoga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uz pomoć učitelja uspoređuje književne tekstove istoga ili različitih autora, iste književne vrste i tematike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uz pomoć učitelja uspoređuje književni tekst s njegovim prilagodbama u drugim medijima</w:t>
            </w:r>
          </w:p>
        </w:tc>
        <w:tc>
          <w:tcPr>
            <w:tcW w:w="2975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djelomično samostalno povezuje vlastiti spoznajni i osjećajni doživljaj da bi stvorio cjelovitu sliku o književnome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djelomično samostalno uočava da je u književnome tekstu riječ o svijetu i čovjeku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djelomično samostalno rješava različite problemske vršnjačke situacije pomoću različitih oblika priča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djelomično samostalno izražava vlastitu procjenu etičke, estetske i idejne razine književnoga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djelomično samostalno uspoređuje književne tekstove istoga ili različitih autora, iste književne vrste i tematike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djelomično samostalno uspoređuje književni tekst s njegovim prilagodbama u drugim medijima</w:t>
            </w:r>
          </w:p>
        </w:tc>
        <w:tc>
          <w:tcPr>
            <w:tcW w:w="2937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uglavnom samostalno povezuje vlastiti spoznajni i osjećajni doživljaj da bi stvorio cjelovitu sliku o književnome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uglavnom samostalno uočava da je u književnome tekstu riječ o svijetu i čovjeku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uglavnom samostalno rješava različite problemske vršnjačke situacije pomoću različitih oblika priča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uglavnom samostalno izražava vlastitu procjenu etičke, estetske i idejne razine književnoga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uglavnom samostalno uspoređuje književne tekstove istoga ili različitih autora, iste književne vrste i tematike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uglavnom samostalno uspoređuje književni tekst s njegovim prilagodbama u drugim medijima</w:t>
            </w:r>
          </w:p>
        </w:tc>
        <w:tc>
          <w:tcPr>
            <w:tcW w:w="2816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samostalno povezuje vlastiti spoznajni i osjećajni doživljaj da bi stvorio cjelovitu sliku o književnome tekstu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samostalno uočava da je u književnome tekstu riječ o svijetu i čovjeku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samostalno rješava različite problemske vršnjačke situacije pomoću različitih oblika priča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samostalno izražava vlastitu procjenu etičke, estetske i idejne razine književnoga teksta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samostalno uspoređuje književne tekstove istoga ili različitih autora, iste književne vrste i tematike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lang w:eastAsia="hr-HR"/>
              </w:rPr>
              <w:t>samostalno uspoređuje književni tekst s njegovim prilagodbama u drugim medijima</w:t>
            </w:r>
          </w:p>
        </w:tc>
      </w:tr>
      <w:tr>
        <w:trPr>
          <w:trHeight w:val="1130" w:hRule="atLeast"/>
        </w:trPr>
        <w:tc>
          <w:tcPr>
            <w:tcW w:w="2472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  <w:t xml:space="preserve">OŠ HJ B.8.2. 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  <w:t>Učenik interpretira književni tekst na temelju vlastitoga čitateljskog iskustva i znanja o književnosti.</w:t>
            </w:r>
          </w:p>
        </w:tc>
        <w:tc>
          <w:tcPr>
            <w:tcW w:w="290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uz pomoć učitelja interpretira književni tekst prema unaprijed zadanim smjernicama i dovodi ga u vezu s osobnim kontekstom</w:t>
            </w:r>
          </w:p>
        </w:tc>
        <w:tc>
          <w:tcPr>
            <w:tcW w:w="2975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djelomično samostalno interpretira književni tekst prema unaprijed zadanim smjernicama i dovodi ga u vezu s osobnim kontekstom</w:t>
            </w:r>
          </w:p>
        </w:tc>
        <w:tc>
          <w:tcPr>
            <w:tcW w:w="2937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uglavnom samostalno interpretira književni tekst prema unaprijed zadanim smjernicama i dovodi ga u vezu s osobnim kontekstom</w:t>
            </w:r>
          </w:p>
        </w:tc>
        <w:tc>
          <w:tcPr>
            <w:tcW w:w="2816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samostalno interpretira književni tekst prema unaprijed zadanim smjernicama i dovodi ga u vezu s osobnim kontekstom</w:t>
            </w:r>
          </w:p>
        </w:tc>
      </w:tr>
      <w:tr>
        <w:trPr>
          <w:trHeight w:val="1130" w:hRule="atLeast"/>
        </w:trPr>
        <w:tc>
          <w:tcPr>
            <w:tcW w:w="2472" w:type="dxa"/>
            <w:vMerge w:val="continue"/>
            <w:tcBorders/>
            <w:shd w:color="auto" w:fill="EDEDED" w:themeFill="accent3" w:themeFillTint="33" w:val="clea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906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uočava višeslojnost književnoga teksta: jezična, sadržajna, značenjska i stilistička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raspravlja o likovima na temelju izgleda, osobina, govora, razmišljanja, emocionalnih i psihičkih reakcija i društvenog statusa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obrazlaže važnost osobnog i društvenog konteksta i odnosa s drugim tekstovima za cjelovitije razumijevanje književnoga teksta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objašnjava obilježja poetskoga, proznog i dramskog teksta te njihove višeznačnosti i primjenjuje dosad stečena književnoteorijska znanja</w:t>
            </w:r>
          </w:p>
        </w:tc>
        <w:tc>
          <w:tcPr>
            <w:tcW w:w="2975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uočava višeslojnost književnoga teksta: jezična, sadržajna, značenjska i stilistička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raspravlja o likovima na temelju izgleda, osobina, govora, razmišljanja, emocionalnih i psihičkih reakcija i društvenog statusa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obrazlaže važnost osobnog i društvenog konteksta i odnosa s drugim tekstovima za cjelovitije razumijevanje književnoga teksta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objašnjava obilježja poetskoga, proznog i dramskog teksta te njihove višeznačnosti i primjenjuje dosad stečena književnoteorijska znanja</w:t>
            </w:r>
          </w:p>
        </w:tc>
        <w:tc>
          <w:tcPr>
            <w:tcW w:w="2937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uočava višeslojnost književnoga teksta: jezična, sadržajna, značenjska i stilistička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raspravlja o likovima na temelju izgleda, osobina, govora, razmišljanja, emocionalnih i psihičkih reakcija i društvenog statusa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obrazlaže važnost osobnog i društvenog konteksta i odnosa s drugim tekstovima za cjelovitije razumijevanje književnoga teksta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objašnjava obilježja poetskoga, proznog i dramskog teksta te njihove višeznačnosti i primjenjuje dosad stečena književnoteorijska znanja</w:t>
            </w:r>
          </w:p>
        </w:tc>
        <w:tc>
          <w:tcPr>
            <w:tcW w:w="2816" w:type="dxa"/>
            <w:tcBorders/>
            <w:shd w:fill="auto" w:val="clear"/>
          </w:tcPr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uočava višeslojnost književnoga teksta: jezična, sadržajna, značenjska i stilistička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raspravlja o likovima na temelju izgleda, osobina, govora, razmišljanja, emocionalnih i psihičkih reakcija i društvenog statusa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obrazlaže važnost osobnog i društvenog konteksta i odnosa s drugim tekstovima za cjelovitije razumijevanje književnoga teksta</w:t>
            </w:r>
          </w:p>
          <w:p>
            <w:pPr>
              <w:pStyle w:val="Normal"/>
              <w:spacing w:before="0" w:after="12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objašnjava obilježja poetskoga, proznog i dramskog teksta te njihove višeznačnosti i primjenjuje dosad stečena književnoteorijska znanja</w:t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rFonts w:ascii="Times New Roman" w:hAnsi="Times New Roman"/>
          <w:b/>
          <w:b/>
          <w:bCs/>
          <w:color w:val="7030A0"/>
          <w:sz w:val="24"/>
          <w:szCs w:val="24"/>
        </w:rPr>
      </w:pPr>
      <w:r>
        <w:rPr>
          <w:rFonts w:ascii="Times New Roman" w:hAnsi="Times New Roman"/>
          <w:b/>
          <w:bCs/>
          <w:color w:val="7030A0"/>
          <w:sz w:val="24"/>
          <w:szCs w:val="24"/>
        </w:rPr>
        <w:t>OŠ HJ B.8.3. Učenik prosuđuje samostalno izabrani književni tekst i uočava svrhu i obilježja pripadajućega žanra i autora.</w:t>
      </w:r>
    </w:p>
    <w:p>
      <w:pPr>
        <w:pStyle w:val="Normal"/>
        <w:rPr>
          <w:rFonts w:ascii="Times New Roman" w:hAnsi="Times New Roman" w:cs="Times New Roman"/>
          <w:b/>
          <w:b/>
          <w:bCs/>
          <w:sz w:val="20"/>
          <w:szCs w:val="20"/>
        </w:rPr>
      </w:pPr>
      <w:r>
        <w:rPr>
          <w:rFonts w:eastAsia="T3Font_4" w:cs="Times New Roman" w:ascii="Times New Roman" w:hAnsi="Times New Roman"/>
          <w:sz w:val="20"/>
          <w:szCs w:val="20"/>
        </w:rPr>
        <w:t>Književnoteorijska znanja u službi su proširivanja vlastitog iskustva čitanja i razvijanja pozitivnoga stava prema čitanju.</w:t>
      </w:r>
    </w:p>
    <w:p>
      <w:pPr>
        <w:pStyle w:val="Normal"/>
        <w:rPr>
          <w:rFonts w:ascii="Times New Roman" w:hAnsi="Times New Roman"/>
          <w:b/>
          <w:b/>
          <w:bCs/>
          <w:color w:val="C45911" w:themeColor="accent2" w:themeShade="bf"/>
          <w:sz w:val="14"/>
          <w:szCs w:val="14"/>
        </w:rPr>
      </w:pPr>
      <w:r>
        <w:rPr>
          <w:rFonts w:ascii="Times New Roman" w:hAnsi="Times New Roman"/>
          <w:b/>
          <w:bCs/>
          <w:color w:val="C45911" w:themeColor="accent2" w:themeShade="bf"/>
          <w:sz w:val="14"/>
          <w:szCs w:val="14"/>
        </w:rPr>
      </w:r>
    </w:p>
    <w:p>
      <w:pPr>
        <w:pStyle w:val="Normal"/>
        <w:rPr>
          <w:rFonts w:ascii="Times New Roman" w:hAnsi="Times New Roman"/>
          <w:b/>
          <w:b/>
          <w:bCs/>
          <w:color w:val="7030A0"/>
          <w:sz w:val="24"/>
          <w:szCs w:val="24"/>
        </w:rPr>
      </w:pPr>
      <w:r>
        <w:rPr>
          <w:rFonts w:ascii="Times New Roman" w:hAnsi="Times New Roman"/>
          <w:b/>
          <w:bCs/>
          <w:color w:val="7030A0"/>
          <w:sz w:val="24"/>
          <w:szCs w:val="24"/>
        </w:rPr>
        <w:t>OŠ HJ B.8.4. Učenik se stvaralački izražava prema vlastitome interesu potaknut različitim iskustvima i doživljajima književnoga teksta.</w:t>
      </w:r>
    </w:p>
    <w:p>
      <w:pPr>
        <w:pStyle w:val="Normal"/>
        <w:rPr/>
      </w:pPr>
      <w:r>
        <w:rPr>
          <w:rFonts w:cs="Times New Roman" w:ascii="Times New Roman" w:hAnsi="Times New Roman"/>
          <w:sz w:val="20"/>
          <w:szCs w:val="20"/>
        </w:rPr>
        <w:t xml:space="preserve">Ishod se prati i ne podliježe vrednovanju. Učitelj cijeni učenikovu samostalnost i poštuje njegove mogućnosti. Učenik predstavlja uradak razrednomu odjelu, a učitelj ga može nagraditi ocjenom za izniman trud. </w:t>
      </w:r>
      <w:r>
        <w:br w:type="page"/>
      </w:r>
    </w:p>
    <w:tbl>
      <w:tblPr>
        <w:tblStyle w:val="TableGrid"/>
        <w:tblW w:w="1394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747"/>
        <w:gridCol w:w="2805"/>
        <w:gridCol w:w="2942"/>
        <w:gridCol w:w="2763"/>
        <w:gridCol w:w="2691"/>
      </w:tblGrid>
      <w:tr>
        <w:trPr>
          <w:trHeight w:val="570" w:hRule="atLeast"/>
        </w:trPr>
        <w:tc>
          <w:tcPr>
            <w:tcW w:w="13948" w:type="dxa"/>
            <w:gridSpan w:val="5"/>
            <w:tcBorders/>
            <w:shd w:color="auto" w:fill="BA8CDC" w:val="clear"/>
            <w:vAlign w:val="center"/>
          </w:tcPr>
          <w:p>
            <w:pPr>
              <w:pStyle w:val="Normal"/>
              <w:pageBreakBefore/>
              <w:jc w:val="center"/>
              <w:rPr>
                <w:rFonts w:ascii="Times New Roman" w:hAnsi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sz w:val="28"/>
                <w:szCs w:val="28"/>
                <w:lang w:eastAsia="hr-HR"/>
              </w:rPr>
              <w:t>KULTURA I MEDIJI</w:t>
            </w:r>
          </w:p>
        </w:tc>
      </w:tr>
      <w:tr>
        <w:trPr>
          <w:trHeight w:val="426" w:hRule="atLeast"/>
        </w:trPr>
        <w:tc>
          <w:tcPr>
            <w:tcW w:w="2747" w:type="dxa"/>
            <w:vMerge w:val="restart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ODGOJNO-OBRAZOVNI ISHOD</w:t>
            </w:r>
          </w:p>
        </w:tc>
        <w:tc>
          <w:tcPr>
            <w:tcW w:w="11201" w:type="dxa"/>
            <w:gridSpan w:val="4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RAZINA USVOJENOSTI ISHODA I PODISHODA</w:t>
            </w:r>
          </w:p>
        </w:tc>
      </w:tr>
      <w:tr>
        <w:trPr>
          <w:trHeight w:val="416" w:hRule="atLeast"/>
        </w:trPr>
        <w:tc>
          <w:tcPr>
            <w:tcW w:w="2747" w:type="dxa"/>
            <w:vMerge w:val="continue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hr-HR"/>
              </w:rPr>
            </w:r>
          </w:p>
        </w:tc>
        <w:tc>
          <w:tcPr>
            <w:tcW w:w="2805" w:type="dxa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Cs w:val="22"/>
                <w:lang w:eastAsia="hr-HR"/>
              </w:rPr>
              <w:t>DOVOLJNA</w:t>
            </w:r>
          </w:p>
        </w:tc>
        <w:tc>
          <w:tcPr>
            <w:tcW w:w="2942" w:type="dxa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DOBRA</w:t>
            </w:r>
          </w:p>
        </w:tc>
        <w:tc>
          <w:tcPr>
            <w:tcW w:w="2763" w:type="dxa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VRLO DOBRA</w:t>
            </w:r>
          </w:p>
        </w:tc>
        <w:tc>
          <w:tcPr>
            <w:tcW w:w="2691" w:type="dxa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szCs w:val="22"/>
                <w:lang w:eastAsia="hr-HR"/>
              </w:rPr>
              <w:t>ODLIČNA</w:t>
            </w:r>
          </w:p>
        </w:tc>
      </w:tr>
      <w:tr>
        <w:trPr>
          <w:trHeight w:val="1246" w:hRule="atLeast"/>
        </w:trPr>
        <w:tc>
          <w:tcPr>
            <w:tcW w:w="2747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  <w:t>OŠ HJ C.8.1.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  <w:t>Učenik prosuđuje utjecaj medijskih tekstova radi komercijalizacije.</w:t>
            </w:r>
          </w:p>
        </w:tc>
        <w:tc>
          <w:tcPr>
            <w:tcW w:w="2805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uz pomoć učitelja uočava razliku između slike stvarnosti koju nude mediji i uspoređuje ju s vlastitim viđenjem stvarnosti</w:t>
            </w:r>
          </w:p>
        </w:tc>
        <w:tc>
          <w:tcPr>
            <w:tcW w:w="2942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djelomično samostalno uočava razliku između slike stvarnosti koju nude mediji i uspoređuje ju s vlastitim viđenjem stvarnosti</w:t>
            </w:r>
          </w:p>
        </w:tc>
        <w:tc>
          <w:tcPr>
            <w:tcW w:w="2763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uglavnom samostalno uočava razliku između slike stvarnosti koju nude mediji i uspoređuje ju s vlastitim viđenjem stvarnosti</w:t>
            </w:r>
          </w:p>
        </w:tc>
        <w:tc>
          <w:tcPr>
            <w:tcW w:w="2691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samostalno uočava razliku između slike stvarnosti koju nude mediji i uspoređuje ju s vlastitim viđenjem stvarnosti</w:t>
            </w:r>
          </w:p>
        </w:tc>
      </w:tr>
      <w:tr>
        <w:trPr>
          <w:trHeight w:val="416" w:hRule="atLeast"/>
        </w:trPr>
        <w:tc>
          <w:tcPr>
            <w:tcW w:w="2747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color w:val="7030A0"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</w:r>
          </w:p>
        </w:tc>
        <w:tc>
          <w:tcPr>
            <w:tcW w:w="2805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uočava sliku stvarnosti koju predstavljaju mediji radi komercijalizacije i uspoređuje ju s vlastitom slikom stvarnosti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objašnjava utjecaj medijskih poruka na oblikovanje vlastitih stavova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izabire i prerađuje medijske poruke za stvaranje pretpostavki i donošenje odluka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uočava internet kao platformu: internet kao medij svih medija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uočava sastavne elemente hipermedije: međusobno povezani tekst, slika, video i zvuk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služi se poveznicama koje proširuju sadržaj teksta</w:t>
            </w:r>
          </w:p>
        </w:tc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uočava sliku stvarnosti koju predstavljaju mediji radi komercijalizacije i uspoređuje ju s vlastitom slikom stvarnosti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objašnjava utjecaj medijskih poruka na oblikovanje vlastitih stavova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izabire i prerađuje medijske poruke za stvaranje pretpostavki i donošenje odluka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uočava internet kao platformu: internet kao medij svih medija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uočava sastavne elemente hipermedije: međusobno povezani tekst, slika, video i zvuk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se samostalno služi poveznicama koje proširuju sadržaj teksta</w:t>
            </w:r>
          </w:p>
        </w:tc>
        <w:tc>
          <w:tcPr>
            <w:tcW w:w="2763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uočava sliku stvarnosti koju predstavljaju mediji radi komercijalizacije i uspoređuje ju s vlastitom slikom stvarnosti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objašnjava utjecaj medijskih poruka na oblikovanje vlastitih stavova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izabire i prerađuje medijske poruke za stvaranje pretpostavki i donošenje odluka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uočava internet kao platformu: internet kao medij svih medija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uočava sastavne elemente hipermedije: međusobno povezani tekst, slika, video i zvuk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se samostalno služi poveznicama koje proširuju sadržaj teksta</w:t>
            </w:r>
          </w:p>
        </w:tc>
        <w:tc>
          <w:tcPr>
            <w:tcW w:w="2691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uočava sliku stvarnosti koju predstavljaju mediji radi komercijalizacije i uspoređuje ju s vlastitom slikom stvarnosti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objašnjava utjecaj medijskih poruka na oblikovanje vlastitih stavova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izabire i prerađuje medijske poruke za stvaranje pretpostavki i donošenje odluka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uočava internet kao platformu: internet kao medij svih medija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uočava sastavne elemente hipermedije: međusobno povezani tekst, slika, video i zvuk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se služi poveznicama koje proširuju sadržaj teksta</w:t>
            </w:r>
          </w:p>
        </w:tc>
      </w:tr>
      <w:tr>
        <w:trPr>
          <w:trHeight w:val="958" w:hRule="atLeast"/>
        </w:trPr>
        <w:tc>
          <w:tcPr>
            <w:tcW w:w="2747" w:type="dxa"/>
            <w:vMerge w:val="restart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  <w:t xml:space="preserve">OŠ HJ C.8.2. </w:t>
            </w:r>
          </w:p>
          <w:p>
            <w:pPr>
              <w:pStyle w:val="Normal"/>
              <w:rPr>
                <w:rFonts w:ascii="Times New Roman" w:hAnsi="Times New Roman"/>
                <w:b/>
                <w:b/>
                <w:bCs/>
                <w:color w:val="7030A0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4"/>
                <w:szCs w:val="24"/>
                <w:lang w:eastAsia="hr-HR"/>
              </w:rPr>
              <w:t>Učenik prosuđuje popularnokulturne tekstove s obzirom na književni kontekst i kontekst ostalih umjetnosti.</w:t>
            </w:r>
          </w:p>
        </w:tc>
        <w:tc>
          <w:tcPr>
            <w:tcW w:w="2805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uz pomoć učitelja objašnjava popularnokulturne tekstove u kontekstu vlastitoga društvenog okružja</w:t>
            </w:r>
          </w:p>
        </w:tc>
        <w:tc>
          <w:tcPr>
            <w:tcW w:w="2942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djelomično samostalno objašnjava popularnokulturne tekstove u kontekstu vlastitoga društvenog okružja</w:t>
            </w:r>
          </w:p>
        </w:tc>
        <w:tc>
          <w:tcPr>
            <w:tcW w:w="2763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uglavnom samostalno objašnjava popularnokulturne tekstove u kontekstu vlastitoga društvenog okružja</w:t>
            </w:r>
          </w:p>
        </w:tc>
        <w:tc>
          <w:tcPr>
            <w:tcW w:w="2691" w:type="dxa"/>
            <w:tcBorders/>
            <w:shd w:color="auto" w:fill="EDEDED" w:themeFill="accent3" w:themeFillTint="33" w:val="clear"/>
            <w:vAlign w:val="center"/>
          </w:tcPr>
          <w:p>
            <w:pPr>
              <w:pStyle w:val="Normal"/>
              <w:spacing w:before="0" w:after="80"/>
              <w:rPr>
                <w:rFonts w:ascii="Times New Roman" w:hAnsi="Times New Roman"/>
                <w:b/>
                <w:b/>
                <w:bCs/>
                <w:color w:val="7030A0"/>
                <w:sz w:val="20"/>
              </w:rPr>
            </w:pP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b/>
                <w:bCs/>
                <w:color w:val="7030A0"/>
                <w:sz w:val="20"/>
                <w:szCs w:val="20"/>
                <w:lang w:eastAsia="hr-HR"/>
              </w:rPr>
              <w:t>samostalno objašnjava popularnokulturne tekstove u kontekstu vlastitoga društvenog okružja</w:t>
            </w:r>
          </w:p>
        </w:tc>
      </w:tr>
      <w:tr>
        <w:trPr>
          <w:trHeight w:val="831" w:hRule="atLeast"/>
        </w:trPr>
        <w:tc>
          <w:tcPr>
            <w:tcW w:w="2747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rPr>
                <w:rFonts w:ascii="Times New Roman" w:hAnsi="Times New Roman" w:eastAsia="Calibri" w:cs="Times New Roman"/>
                <w:b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4"/>
                <w:lang w:eastAsia="hr-HR"/>
              </w:rPr>
            </w:r>
          </w:p>
        </w:tc>
        <w:tc>
          <w:tcPr>
            <w:tcW w:w="2805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obrazlaže vezu teksta i svijeta koji ga okružuje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prosuđuje značenje popularnokulturnih tekstova povezujući ih s društvenim, ekonomskim i kulturnim okružjem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tumači priču i likove kao temelje popularnokulturnih tekstova, tj. kao objekte identifikacije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uz pomoć učitelja objašnjava postojanje različitih, njemu poznatih supkultura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uz pomoć učitelja uspoređuje popularnu kulturu s tzv. visokom kulturom na poznatim primjerima iz književnosti ili drugih umjetnosti</w:t>
            </w:r>
          </w:p>
        </w:tc>
        <w:tc>
          <w:tcPr>
            <w:tcW w:w="2942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obrazlaže vezu teksta i svijeta koji ga okružuje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prosuđuje značenje popularnokulturnih tekstova povezujući ih s društvenim, ekonomskim i kulturnim okružjem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tumači priču i likove kao temelje popularnokulturnih tekstova, tj. kao objekte identifikacije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djelomično samostalno objašnjava postojanje različitih, njemu poznatih supkultura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djelomično samostalno uspoređuje popularnu kulturu s tzv. visokom kulturom na poznatim primjerima iz književnosti ili drugih umjetnosti</w:t>
            </w:r>
          </w:p>
        </w:tc>
        <w:tc>
          <w:tcPr>
            <w:tcW w:w="2763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obrazlaže vezu teksta i svijeta koji ga okružuje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prosuđuje značenje popularnokulturnih tekstova povezujući ih s društvenim, ekonomskim i kulturnim okružjem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tumači priču i likove kao temelje popularnokulturnih tekstova, tj. kao objekte identifikacije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uglavnom samostalno objašnjava postojanje različitih, njemu poznatih supkultura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–</w:t>
            </w:r>
            <w:r>
              <w:rPr>
                <w:rFonts w:eastAsia="Calibri" w:cs="Times New Roman"/>
                <w:szCs w:val="20"/>
                <w:lang w:eastAsia="hr-HR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uglavnom samostalno uspoređuje popularnu kulturu s tzv. visokom kulturom na poznatim primjerima iz književnosti ili drugih umjetnosti</w:t>
            </w:r>
          </w:p>
        </w:tc>
        <w:tc>
          <w:tcPr>
            <w:tcW w:w="2691" w:type="dxa"/>
            <w:tcBorders/>
            <w:shd w:fill="auto" w:val="clear"/>
          </w:tcPr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obrazlaže vezu teksta i svijeta koji ga okružuje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prosuđuje značenje popularnokulturnih tekstova povezujući ih s društvenim, ekonomskim i kulturnim okružjem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tumači priču i likove kao temelje popularnokulturnih tekstova, tj. kao objekte identifikacije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samostalno objašnjava postojanje različitih, njemu poznatih supkultura </w:t>
            </w:r>
          </w:p>
          <w:p>
            <w:pPr>
              <w:pStyle w:val="Normal"/>
              <w:spacing w:before="0" w:after="80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 xml:space="preserve">– </w:t>
            </w:r>
            <w:r>
              <w:rPr>
                <w:rFonts w:eastAsia="Calibri" w:cs="Times New Roman" w:ascii="Times New Roman" w:hAnsi="Times New Roman"/>
                <w:sz w:val="19"/>
                <w:szCs w:val="19"/>
                <w:lang w:eastAsia="hr-HR"/>
              </w:rPr>
              <w:t>samostalno uspoređuje popularnu kulturu s tzv. visokom kulturom na poznatim primjerima iz književnosti ili drugih umjetnosti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ascii="Times New Roman" w:hAnsi="Times New Roman" w:eastAsia="T3Font_4" w:cs="Times New Roman"/>
          <w:b/>
          <w:b/>
          <w:bCs/>
          <w:color w:val="7030A0"/>
          <w:sz w:val="24"/>
          <w:szCs w:val="24"/>
        </w:rPr>
      </w:pPr>
      <w:r>
        <w:rPr>
          <w:rFonts w:eastAsia="T3Font_4" w:cs="Times New Roman" w:ascii="Times New Roman" w:hAnsi="Times New Roman"/>
          <w:b/>
          <w:bCs/>
          <w:color w:val="7030A0"/>
          <w:sz w:val="24"/>
          <w:szCs w:val="24"/>
        </w:rPr>
        <w:t>OŠ HJ C.8.3. Učenik posjećuje kulturne događaje u fizičkome i virtualnome okružju.</w:t>
      </w:r>
    </w:p>
    <w:p>
      <w:pPr>
        <w:pStyle w:val="Normal"/>
        <w:rPr/>
      </w:pPr>
      <w:r>
        <w:rPr>
          <w:rFonts w:cs="Times New Roman" w:ascii="Times New Roman" w:hAnsi="Times New Roman"/>
          <w:sz w:val="20"/>
          <w:szCs w:val="20"/>
        </w:rPr>
        <w:t>Ishod se ne vrednuje, samo se prati.</w:t>
      </w:r>
      <w:r>
        <w:br w:type="page"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eGrid"/>
        <w:tblW w:w="1410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702"/>
        <w:gridCol w:w="4706"/>
        <w:gridCol w:w="4698"/>
      </w:tblGrid>
      <w:tr>
        <w:trPr>
          <w:trHeight w:val="395" w:hRule="atLeast"/>
        </w:trPr>
        <w:tc>
          <w:tcPr>
            <w:tcW w:w="14106" w:type="dxa"/>
            <w:gridSpan w:val="3"/>
            <w:tcBorders/>
            <w:shd w:color="auto" w:fill="BA8CDC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2"/>
                <w:lang w:eastAsia="hr-HR"/>
              </w:rPr>
              <w:t>OBLICI VREDNOVANJA</w:t>
            </w:r>
          </w:p>
        </w:tc>
      </w:tr>
      <w:tr>
        <w:trPr>
          <w:trHeight w:val="415" w:hRule="atLeast"/>
        </w:trPr>
        <w:tc>
          <w:tcPr>
            <w:tcW w:w="4702" w:type="dxa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2"/>
                <w:lang w:eastAsia="hr-HR"/>
              </w:rPr>
              <w:t>VREDNOVANJE ZA UČENJE</w:t>
            </w:r>
          </w:p>
        </w:tc>
        <w:tc>
          <w:tcPr>
            <w:tcW w:w="4706" w:type="dxa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2"/>
                <w:lang w:eastAsia="hr-HR"/>
              </w:rPr>
              <w:t>VREDNOVANJE KAO UČENJE</w:t>
            </w:r>
          </w:p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2"/>
                <w:lang w:eastAsia="hr-HR"/>
              </w:rPr>
              <w:t>(vršnjačko vrednovanje i samovrednovanje)</w:t>
            </w:r>
          </w:p>
        </w:tc>
        <w:tc>
          <w:tcPr>
            <w:tcW w:w="4698" w:type="dxa"/>
            <w:tcBorders/>
            <w:shd w:color="auto" w:fill="E6D6F2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b/>
                <w:b/>
                <w:bCs/>
                <w:sz w:val="24"/>
                <w:szCs w:val="22"/>
              </w:rPr>
            </w:pPr>
            <w:r>
              <w:rPr>
                <w:rFonts w:eastAsia="Calibri" w:cs="Times New Roman" w:ascii="Times New Roman" w:hAnsi="Times New Roman"/>
                <w:b/>
                <w:bCs/>
                <w:sz w:val="24"/>
                <w:szCs w:val="22"/>
                <w:lang w:eastAsia="hr-HR"/>
              </w:rPr>
              <w:t>VREDNOVANJE NAUČENOGA</w:t>
            </w:r>
          </w:p>
        </w:tc>
      </w:tr>
      <w:tr>
        <w:trPr>
          <w:trHeight w:val="408" w:hRule="atLeast"/>
        </w:trPr>
        <w:tc>
          <w:tcPr>
            <w:tcW w:w="4702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argumentirane rasprave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promatranje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rješavanje problema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posteri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pitanja radi provjere razumijevanja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domaće zadaće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kratke pisane provjere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izlazne kartice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grafički organizatori znanja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razmjena informacija o učenju i rezultatima učenja</w:t>
            </w:r>
          </w:p>
        </w:tc>
        <w:tc>
          <w:tcPr>
            <w:tcW w:w="4706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trominutna stanka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(samo)procjena uradaka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lista za procjenu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rubrike</w:t>
            </w:r>
          </w:p>
        </w:tc>
        <w:tc>
          <w:tcPr>
            <w:tcW w:w="4698" w:type="dxa"/>
            <w:tcBorders/>
            <w:shd w:fill="auto" w:val="clear"/>
          </w:tcPr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pisane provjere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usmeno ispitivanje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analiza mape radova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opažanje izvedbe učenika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procjena rasprave u kojoj sudjeluje učenik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/>
              </w:rPr>
            </w:pPr>
            <w:r>
              <w:rPr>
                <w:rFonts w:eastAsia="Calibri" w:cs="Times New Roman" w:ascii="Times New Roman" w:hAnsi="Times New Roman"/>
                <w:szCs w:val="20"/>
                <w:lang w:eastAsia="hr-HR"/>
              </w:rPr>
              <w:t>analiza učeničkih radova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orient="landscape" w:w="16838" w:h="11906"/>
      <w:pgMar w:left="1361" w:right="1361" w:header="0" w:top="1361" w:footer="0" w:bottom="136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" w:cstheme="minorBidi" w:eastAsiaTheme="minorHAnsi"/>
        <w:szCs w:val="22"/>
        <w:lang w:val="hr-HR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9b6742"/>
    <w:pPr>
      <w:widowControl/>
      <w:bidi w:val="0"/>
      <w:jc w:val="left"/>
    </w:pPr>
    <w:rPr>
      <w:rFonts w:ascii="Calibri" w:hAnsi="Calibri" w:eastAsia="Calibri" w:cs="" w:ascii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0e58c9"/>
    <w:rPr>
      <w:rFonts w:ascii="Segoe UI" w:hAnsi="Segoe UI" w:cs="Segoe UI"/>
      <w:sz w:val="18"/>
      <w:szCs w:val="18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196c2d"/>
    <w:rPr>
      <w:sz w:val="16"/>
      <w:szCs w:val="16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qFormat/>
    <w:rsid w:val="00196c2d"/>
    <w:rPr>
      <w:rFonts w:ascii="Calibri" w:hAnsi="Calibri" w:asciiTheme="minorHAnsi" w:hAnsiTheme="minorHAnsi"/>
      <w:sz w:val="20"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qFormat/>
    <w:rsid w:val="00196c2d"/>
    <w:rPr>
      <w:rFonts w:ascii="Calibri" w:hAnsi="Calibri" w:asciiTheme="minorHAnsi" w:hAnsiTheme="minorHAnsi"/>
      <w:b/>
      <w:bCs/>
      <w:sz w:val="20"/>
      <w:szCs w:val="20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ascii="Times New Roman" w:hAnsi="Times New Roman" w:cs="Symbol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Wingdings"/>
    </w:rPr>
  </w:style>
  <w:style w:type="character" w:styleId="ListLabel10">
    <w:name w:val="ListLabel 10"/>
    <w:qFormat/>
    <w:rPr>
      <w:rFonts w:cs="Symbol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Wingdings"/>
    </w:rPr>
  </w:style>
  <w:style w:type="character" w:styleId="ListLabel13">
    <w:name w:val="ListLabel 13"/>
    <w:qFormat/>
    <w:rPr>
      <w:rFonts w:cs="Symbol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9b6742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58c9"/>
    <w:pPr/>
    <w:rPr>
      <w:rFonts w:ascii="Segoe UI" w:hAnsi="Segoe UI" w:cs="Segoe UI"/>
      <w:sz w:val="18"/>
      <w:szCs w:val="18"/>
    </w:rPr>
  </w:style>
  <w:style w:type="paragraph" w:styleId="Annotationtext">
    <w:name w:val="annotation text"/>
    <w:basedOn w:val="Normal"/>
    <w:link w:val="CommentTextChar"/>
    <w:uiPriority w:val="99"/>
    <w:semiHidden/>
    <w:unhideWhenUsed/>
    <w:qFormat/>
    <w:rsid w:val="00196c2d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CommentSubjectChar"/>
    <w:uiPriority w:val="99"/>
    <w:semiHidden/>
    <w:unhideWhenUsed/>
    <w:qFormat/>
    <w:rsid w:val="00196c2d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b6742"/>
    <w:rPr>
      <w:lang w:eastAsia="hr-HR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Application>LibreOffice/6.2.5.2$Windows_X86_64 LibreOffice_project/1ec314fa52f458adc18c4f025c545a4e8b22c159</Application>
  <Pages>10</Pages>
  <Words>3971</Words>
  <Characters>27056</Characters>
  <CharactersWithSpaces>30949</CharactersWithSpaces>
  <Paragraphs>378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2021-09-06T09:10:00Z</dcterms:created>
  <dc:creator>Martina Valec Rebić</dc:creator>
  <dc:description/>
  <dc:language>hr-HR</dc:language>
  <cp:lastModifiedBy/>
  <dcterms:modified xsi:type="dcterms:W3CDTF">2026-09-24T11:35:21Z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