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Škola:Osnovna škola Plaški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U</w:t>
      </w:r>
      <w:r>
        <w:rPr>
          <w:rFonts w:cs="Times New Roman" w:ascii="Times New Roman" w:hAnsi="Times New Roman"/>
          <w:b/>
          <w:sz w:val="28"/>
          <w:szCs w:val="28"/>
        </w:rPr>
        <w:t>čiteljica: Nikolina Ožanić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Predmet: Hrvatski jezik</w:t>
      </w:r>
    </w:p>
    <w:p>
      <w:pPr>
        <w:pStyle w:val="Normal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Razredni odjel:6.r.</w:t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color w:val="ED7D31" w:themeColor="accent2"/>
          <w:sz w:val="56"/>
          <w:szCs w:val="56"/>
        </w:rPr>
      </w:pPr>
      <w:r>
        <w:rPr>
          <w:rFonts w:cs="Times New Roman" w:ascii="Times New Roman" w:hAnsi="Times New Roman"/>
          <w:b/>
          <w:color w:val="ED7D31" w:themeColor="accent2"/>
          <w:sz w:val="56"/>
          <w:szCs w:val="56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color w:val="ED7D31" w:themeColor="accent2"/>
          <w:sz w:val="56"/>
          <w:szCs w:val="56"/>
        </w:rPr>
        <w:t>KRITERIJI VREDNOVAN</w:t>
      </w:r>
      <w:bookmarkStart w:id="0" w:name="_GoBack"/>
      <w:bookmarkEnd w:id="0"/>
      <w:r>
        <w:rPr>
          <w:rFonts w:cs="Times New Roman" w:ascii="Times New Roman" w:hAnsi="Times New Roman"/>
          <w:b/>
          <w:color w:val="ED7D31" w:themeColor="accent2"/>
          <w:sz w:val="56"/>
          <w:szCs w:val="56"/>
        </w:rPr>
        <w:t>JA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color w:val="ED7D31" w:themeColor="accent2"/>
          <w:sz w:val="56"/>
          <w:szCs w:val="56"/>
        </w:rPr>
      </w:pPr>
      <w:r>
        <w:rPr>
          <w:rFonts w:cs="Times New Roman" w:ascii="Times New Roman" w:hAnsi="Times New Roman"/>
          <w:b/>
          <w:color w:val="ED7D31" w:themeColor="accent2"/>
          <w:sz w:val="56"/>
          <w:szCs w:val="56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40"/>
          <w:szCs w:val="40"/>
        </w:rPr>
        <w:t xml:space="preserve"> </w:t>
      </w:r>
      <w:r>
        <w:rPr>
          <w:rFonts w:cs="Times New Roman" w:ascii="Times New Roman" w:hAnsi="Times New Roman"/>
          <w:b/>
          <w:sz w:val="40"/>
          <w:szCs w:val="40"/>
        </w:rPr>
        <w:t>za 6. razred</w:t>
      </w:r>
    </w:p>
    <w:p>
      <w:pPr>
        <w:pStyle w:val="Normal"/>
        <w:jc w:val="center"/>
        <w:rPr/>
      </w:pPr>
      <w:r>
        <w:rPr/>
      </w:r>
      <w:bookmarkStart w:id="1" w:name="_Hlk16503421"/>
      <w:bookmarkStart w:id="2" w:name="_Hlk11518931"/>
      <w:bookmarkStart w:id="3" w:name="_Hlk16503421"/>
      <w:bookmarkStart w:id="4" w:name="_Hlk11518931"/>
      <w:bookmarkEnd w:id="3"/>
      <w:bookmarkEnd w:id="4"/>
    </w:p>
    <w:p>
      <w:pPr>
        <w:pStyle w:val="Normal"/>
        <w:rPr>
          <w:rFonts w:ascii="Times New Roman" w:hAnsi="Times New Roman" w:cs="Times New Roman"/>
          <w:b/>
          <w:b/>
          <w:sz w:val="34"/>
          <w:szCs w:val="34"/>
        </w:rPr>
      </w:pPr>
      <w:r>
        <w:rPr>
          <w:rFonts w:cs="Times New Roman" w:ascii="Times New Roman" w:hAnsi="Times New Roman"/>
          <w:b/>
          <w:sz w:val="34"/>
          <w:szCs w:val="3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34"/>
          <w:szCs w:val="34"/>
        </w:rPr>
      </w:pPr>
      <w:r>
        <w:rPr>
          <w:rFonts w:cs="Times New Roman" w:ascii="Times New Roman" w:hAnsi="Times New Roman"/>
          <w:b/>
          <w:sz w:val="34"/>
          <w:szCs w:val="34"/>
        </w:rPr>
      </w:r>
    </w:p>
    <w:p>
      <w:pPr>
        <w:pStyle w:val="Normal"/>
        <w:rPr>
          <w:rFonts w:ascii="Times New Roman" w:hAnsi="Times New Roman" w:cs="Times New Roman"/>
          <w:b/>
          <w:b/>
          <w:sz w:val="34"/>
          <w:szCs w:val="34"/>
        </w:rPr>
      </w:pPr>
      <w:r>
        <w:rPr>
          <w:rFonts w:cs="Times New Roman" w:ascii="Times New Roman" w:hAnsi="Times New Roman"/>
          <w:b/>
          <w:sz w:val="34"/>
          <w:szCs w:val="34"/>
        </w:rPr>
      </w:r>
    </w:p>
    <w:p>
      <w:pPr>
        <w:pStyle w:val="Normal"/>
        <w:rPr>
          <w:rFonts w:ascii="Times New Roman" w:hAnsi="Times New Roman" w:cs="Times New Roman"/>
          <w:b/>
          <w:b/>
          <w:sz w:val="34"/>
          <w:szCs w:val="34"/>
        </w:rPr>
      </w:pPr>
      <w:r>
        <w:rPr>
          <w:rFonts w:cs="Times New Roman" w:ascii="Times New Roman" w:hAnsi="Times New Roman"/>
          <w:b/>
          <w:sz w:val="34"/>
          <w:szCs w:val="34"/>
        </w:rPr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40"/>
          <w:szCs w:val="40"/>
        </w:rPr>
      </w:pPr>
      <w:r>
        <w:rPr>
          <w:rFonts w:cs="Times New Roman" w:ascii="Times New Roman" w:hAnsi="Times New Roman"/>
          <w:b/>
          <w:sz w:val="40"/>
          <w:szCs w:val="40"/>
        </w:rPr>
      </w:r>
      <w:r>
        <w:br w:type="page"/>
      </w:r>
    </w:p>
    <w:tbl>
      <w:tblPr>
        <w:tblStyle w:val="TableGrid"/>
        <w:tblW w:w="1410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89"/>
        <w:gridCol w:w="2876"/>
        <w:gridCol w:w="3008"/>
        <w:gridCol w:w="2917"/>
        <w:gridCol w:w="2816"/>
      </w:tblGrid>
      <w:tr>
        <w:trPr>
          <w:trHeight w:val="570" w:hRule="atLeast"/>
        </w:trPr>
        <w:tc>
          <w:tcPr>
            <w:tcW w:w="14106" w:type="dxa"/>
            <w:gridSpan w:val="5"/>
            <w:tcBorders/>
            <w:shd w:color="auto" w:fill="F4B083" w:themeFill="accent2" w:themeFillTint="99" w:val="clear"/>
            <w:vAlign w:val="center"/>
          </w:tcPr>
          <w:p>
            <w:pPr>
              <w:pStyle w:val="Normal"/>
              <w:pageBreakBefore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sz w:val="28"/>
                <w:szCs w:val="28"/>
                <w:lang w:eastAsia="hr-HR"/>
              </w:rPr>
              <w:t>HRVATSKI JEZIK I KOMUNIKACIJA</w:t>
            </w:r>
          </w:p>
        </w:tc>
      </w:tr>
      <w:tr>
        <w:trPr>
          <w:trHeight w:val="426" w:hRule="atLeast"/>
        </w:trPr>
        <w:tc>
          <w:tcPr>
            <w:tcW w:w="2489" w:type="dxa"/>
            <w:vMerge w:val="restart"/>
            <w:tcBorders/>
            <w:shd w:color="auto" w:fill="FBE4D5" w:themeFill="accent2" w:themeFillTint="3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Cs w:val="22"/>
                <w:lang w:eastAsia="hr-HR"/>
              </w:rPr>
              <w:t>ODGOJNO-OBRAZOVNI ISHOD</w:t>
            </w:r>
          </w:p>
        </w:tc>
        <w:tc>
          <w:tcPr>
            <w:tcW w:w="11617" w:type="dxa"/>
            <w:gridSpan w:val="4"/>
            <w:tcBorders/>
            <w:shd w:color="auto" w:fill="FBE4D5" w:themeFill="accent2" w:themeFillTint="3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RAZINA USVOJENOSTI ISHODA I PODISHODA</w:t>
            </w:r>
          </w:p>
        </w:tc>
      </w:tr>
      <w:tr>
        <w:trPr>
          <w:trHeight w:val="416" w:hRule="atLeast"/>
        </w:trPr>
        <w:tc>
          <w:tcPr>
            <w:tcW w:w="2489" w:type="dxa"/>
            <w:vMerge w:val="continue"/>
            <w:tcBorders/>
            <w:shd w:color="auto" w:fill="FBE4D5" w:themeFill="accent2" w:themeFillTint="3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hr-HR"/>
              </w:rPr>
            </w:r>
          </w:p>
        </w:tc>
        <w:tc>
          <w:tcPr>
            <w:tcW w:w="2876" w:type="dxa"/>
            <w:tcBorders/>
            <w:shd w:color="auto" w:fill="FBE4D5" w:themeFill="accent2" w:themeFillTint="3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Cs w:val="22"/>
                <w:lang w:eastAsia="hr-HR"/>
              </w:rPr>
              <w:t>DOVOLJNA</w:t>
            </w:r>
          </w:p>
        </w:tc>
        <w:tc>
          <w:tcPr>
            <w:tcW w:w="3008" w:type="dxa"/>
            <w:tcBorders/>
            <w:shd w:color="auto" w:fill="FBE4D5" w:themeFill="accent2" w:themeFillTint="3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DOBRA</w:t>
            </w:r>
          </w:p>
        </w:tc>
        <w:tc>
          <w:tcPr>
            <w:tcW w:w="2917" w:type="dxa"/>
            <w:tcBorders/>
            <w:shd w:color="auto" w:fill="FBE4D5" w:themeFill="accent2" w:themeFillTint="3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VRLO DOBRA</w:t>
            </w:r>
          </w:p>
        </w:tc>
        <w:tc>
          <w:tcPr>
            <w:tcW w:w="2816" w:type="dxa"/>
            <w:tcBorders/>
            <w:shd w:color="auto" w:fill="FBE4D5" w:themeFill="accent2" w:themeFillTint="3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ODLIČNA</w:t>
            </w:r>
          </w:p>
        </w:tc>
      </w:tr>
      <w:tr>
        <w:trPr>
          <w:trHeight w:val="1246" w:hRule="atLeast"/>
        </w:trPr>
        <w:tc>
          <w:tcPr>
            <w:tcW w:w="2489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4"/>
                <w:szCs w:val="24"/>
                <w:lang w:eastAsia="hr-HR"/>
              </w:rPr>
              <w:t>HJ A.6.1.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4"/>
                <w:szCs w:val="24"/>
                <w:lang w:eastAsia="hr-HR"/>
              </w:rPr>
              <w:t>Učenik govori i razgovara o pročitanim i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4"/>
                <w:szCs w:val="24"/>
                <w:lang w:eastAsia="hr-HR"/>
              </w:rPr>
              <w:t>poslušanim tekstovima.</w:t>
            </w:r>
          </w:p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color w:val="C45911" w:themeColor="accent2" w:themeShade="bf"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4"/>
                <w:szCs w:val="24"/>
                <w:lang w:eastAsia="hr-HR"/>
              </w:rPr>
            </w:r>
          </w:p>
        </w:tc>
        <w:tc>
          <w:tcPr>
            <w:tcW w:w="287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rijeko primjenjuje obrasce vođenja razgovora s obzirom na vrstu i svrhu razgovora i pripovijeda s različitih točaka gledišta</w:t>
            </w:r>
          </w:p>
        </w:tc>
        <w:tc>
          <w:tcPr>
            <w:tcW w:w="300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povremeno primjenjuje obrasce vođenja razgovora s obzirom na vrstu i svrhu razgovora i pripovijeda s različitih točaka gledišta</w:t>
            </w:r>
          </w:p>
        </w:tc>
        <w:tc>
          <w:tcPr>
            <w:tcW w:w="2917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uglavnom primjenjuje obrasce vođenja razgovora s obzirom na vrstu i svrhu razgovora i pripovijeda s različitih točaka gledišta</w:t>
            </w:r>
          </w:p>
        </w:tc>
        <w:tc>
          <w:tcPr>
            <w:tcW w:w="281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redovito primjenjuje obrasce vođenja razgovora s obzirom na vrstu i svrhu razgovora i pripovijeda s različitih točaka gledišta</w:t>
            </w:r>
          </w:p>
        </w:tc>
      </w:tr>
      <w:tr>
        <w:trPr>
          <w:trHeight w:val="831" w:hRule="atLeast"/>
        </w:trPr>
        <w:tc>
          <w:tcPr>
            <w:tcW w:w="2489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hr-HR"/>
              </w:rPr>
            </w:r>
          </w:p>
        </w:tc>
        <w:tc>
          <w:tcPr>
            <w:tcW w:w="2876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učiteljevih smjernica i potpitanja govori poštujući svrhu govorenja (osobna i javna)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izlaže na zadanu temu prema zadanoj strukturi i smjernicama, povremeno se udaljava od teme, izlaganje je djelomično jasno i logično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rijeko primjenjuje obrasce vođenja razgovora s obzirom na sugovornika, vrstu i svrhu razgovora (razgovor s vršnjacima ili odraslima, slobodni ili vođeni razgovor)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slabo i uz pomoć učitelja (smjernica i potpitanja) pripovijeda s različitih točaka gledišta, rijetko poštuje</w:t>
              <w:br/>
              <w:t xml:space="preserve"> uzročno-posljedične veze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rijetko razlikuje i mijenja brzinu govorenja (usporena, srednja i ubrzana) kako bi postigao željeni učinak na slušatelja </w:t>
            </w:r>
          </w:p>
        </w:tc>
        <w:tc>
          <w:tcPr>
            <w:tcW w:w="3008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govori poštujući svrhu govorenja (osobna i javna)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djelomično samostalno izlaže na zadanu temu prema zadanoj strukturi i smjernicama, poštuje temu, izlaže kratko i uglavnom logično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povremeno primjenjuje obrasce vođenja razgovora s obzirom na sugovornika, vrstu i svrhu razgovora (razgovor s vršnjacima ili odraslima, slobodni ili vođeni razgovor)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djelomično samostalno pripovijeda s različitih točaka gledišta, djelomično poštuje uzročno-posljedične veze, pripovijeda kratko i uglavnom logično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povremeno razlikuje i mijenja brzinu govorenja (usporena, srednja i ubrzana) kako bi postigao željeni učinak na slušatelja</w:t>
            </w:r>
          </w:p>
        </w:tc>
        <w:tc>
          <w:tcPr>
            <w:tcW w:w="2917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govori poštujući svrhu govorenja (osobna i javna)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izlaže na zadanu temu prema zadanoj strukturi i smjernicama, poštuje temu, uglavnom izlaže logično, iscrpno i zanimljivo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primjenjuje obrasce vođenja razgovora s obzirom na sugovornika, vrstu i svrhu razgovora (razgovor s vršnjacima ili odraslima, slobodni ili vođeni razgovor)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uglavnom samostalno pripovijeda s različitih točaka gledišta, uglavnom poštuje uzročno-posljedične veze, pripovijeda iscrpno i zanimljivo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razlikuje i mijenja brzinu govorenja (usporena, srednja i ubrzana) kako bi postigao željeni učinak na slušatelja</w:t>
            </w:r>
          </w:p>
        </w:tc>
        <w:tc>
          <w:tcPr>
            <w:tcW w:w="2816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govori poštujući svrhu govorenja (osobna i javna)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izlaže na zadanu temu prema zadanoj strukturi i smjernicama, poštuje temu, izlaže logično, iscrpno i zanimljivo, pokazuje bogatstvo leksika i teži originalnosti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redovito primjenjuje obrasce vođenja razgovora s obzirom na sugovornika, vrstu i svrhu razgovora (razgovor s vršnjacima ili odraslima, slobodni ili vođeni razgovor)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pripovijeda s različitih točaka gledišta, poštuje uzročno-posljedične veze, pripovijeda iscrpno i zanimljivo, služi se govornim vrednotama za zadržavanje pozornosti slušatelja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redovito razlikuje i mijenja brzinu govorenja (usporena, srednja i ubrzana) kako bi postigao željeni učinak na slušatelja</w:t>
            </w:r>
          </w:p>
        </w:tc>
      </w:tr>
      <w:tr>
        <w:trPr>
          <w:trHeight w:val="831" w:hRule="atLeast"/>
        </w:trPr>
        <w:tc>
          <w:tcPr>
            <w:tcW w:w="2489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4"/>
                <w:szCs w:val="24"/>
                <w:lang w:eastAsia="hr-HR"/>
              </w:rPr>
              <w:t>HJ A.6.2.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4"/>
                <w:szCs w:val="24"/>
                <w:lang w:eastAsia="hr-HR"/>
              </w:rPr>
              <w:t>Učenik sluša tekst, sažima podatke u bilješke i objašnjava značenje teksta.</w:t>
            </w:r>
          </w:p>
        </w:tc>
        <w:tc>
          <w:tcPr>
            <w:tcW w:w="287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uz pomoć učitelja piše bilješke i prepričava tekst</w:t>
            </w:r>
          </w:p>
        </w:tc>
        <w:tc>
          <w:tcPr>
            <w:tcW w:w="300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djelomično samostalno piše bilješke i djelomično uspješno prepričava tekst</w:t>
            </w:r>
          </w:p>
        </w:tc>
        <w:tc>
          <w:tcPr>
            <w:tcW w:w="2917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uglavnom samostalno piše bilješke i uglavnom uspješno prepričava tekst</w:t>
            </w:r>
          </w:p>
        </w:tc>
        <w:tc>
          <w:tcPr>
            <w:tcW w:w="281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samostalno piše bilješke i uspješno prepričava tekst</w:t>
            </w:r>
          </w:p>
        </w:tc>
      </w:tr>
      <w:tr>
        <w:trPr>
          <w:trHeight w:val="840" w:hRule="atLeast"/>
        </w:trPr>
        <w:tc>
          <w:tcPr>
            <w:tcW w:w="2489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hr-HR"/>
              </w:rPr>
            </w:r>
          </w:p>
        </w:tc>
        <w:tc>
          <w:tcPr>
            <w:tcW w:w="2876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višestruke poticaje sluša tekst, slabo razumije sadržaj teksta, rijetko točno pamti određene podatke ili poruke teksta</w:t>
            </w:r>
          </w:p>
          <w:p>
            <w:pPr>
              <w:pStyle w:val="Normal"/>
              <w:spacing w:before="0" w:after="80"/>
              <w:rPr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postavlja potpitanja o slušanome tekstu da bi pojasnio razumijevanje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sažima podatke o slušanome tekstu u kratke i djelomično jasne bilješke, uz pomoć učitelja objašnjava značenje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djelomično jasno i logično prepričava slušani tekst služeći se bilješkama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točno objašnjava nepoznate riječi na temelju zaključivanja iz konteksta, značenje riječi u rječniku traži na poticaj učitelja</w:t>
            </w:r>
          </w:p>
        </w:tc>
        <w:tc>
          <w:tcPr>
            <w:tcW w:w="3008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uz početni poticaj sluša tekst, djelomično razumije sadržaj teksta, djelomično točno pamti određene podatke ili poruke teksta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povremenu pomoć učitelja postavlja potpitanja o slušanome tekstu da bi pojasnio razumijevanje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povremenu pomoć učitelja sažima podatke o slušanome tekstu u jasne i kratke bilješke, uz povremenu pomoć učitelja objašnjava značenje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uglavnom jasno i logično prepričava slušani tekst služeći se bilješkama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–</w:t>
            </w:r>
            <w:r>
              <w:rPr>
                <w:rFonts w:eastAsia="Calibri" w:cs="Times New Roman" w:ascii="Times New Roman" w:hAnsi="Times New Roman"/>
                <w:b/>
                <w:bCs/>
                <w:sz w:val="19"/>
                <w:szCs w:val="19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djelomično točno objašnjava nepoznate riječi na temelju zaključivanja iz konteksta, povremeno samostalno traži značenje riječi u rječniku </w:t>
            </w:r>
          </w:p>
        </w:tc>
        <w:tc>
          <w:tcPr>
            <w:tcW w:w="2917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početni poticaj pažljivo sluša tekst, uglavnom razumije sadržaj teksta, uglavnom točno pamti određene podatke ili poruke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uglavnom samostalno postavlja potpitanja o slušanome tekstu da bi pojasnio razumijevanje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uglavnom samostalno sažima podatke o slušanome tekstu u jasne kratke bilješke o slušanome tekstu, uglavnom samostalno objašnjava značenje teksta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samostalno, uglavnom jasno i logično prepričava slušani tekst služeći se bilješkama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uglavnom točno objašnjava nepoznate riječi na temelju zaključivanja iz konteksta, uglavnom samostalno traži značenje riječi u rječniku </w:t>
            </w:r>
          </w:p>
        </w:tc>
        <w:tc>
          <w:tcPr>
            <w:tcW w:w="2816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uz početni poticaj pažljivo i aktivno sluša tekst, razumije sadržaj teksta, točno pamti određene podatke ili poruke teksta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postavlja potpitanja o slušanome tekstu da bi pojasnio razumijevanje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sažima podatke o slušanome tekstu u jasne bilješke, samostalno objašnjava značenje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samostalno, jasno i logično prepričava slušani tekst služeći se bilješkama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točno objašnjava nepoznate riječi na temelju zaključivanja iz konteksta, samostalno traži značenje riječi u rječniku</w:t>
            </w:r>
          </w:p>
        </w:tc>
      </w:tr>
      <w:tr>
        <w:trPr>
          <w:trHeight w:val="840" w:hRule="atLeast"/>
        </w:trPr>
        <w:tc>
          <w:tcPr>
            <w:tcW w:w="2489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4"/>
                <w:szCs w:val="24"/>
                <w:lang w:eastAsia="hr-HR"/>
              </w:rPr>
              <w:t>HJ A.6.3.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4"/>
                <w:szCs w:val="24"/>
                <w:lang w:eastAsia="hr-HR"/>
              </w:rPr>
              <w:t>Učenik čita tekst, uspoređuje podatke prema važnosti i objašnjava značenje teksta.</w:t>
            </w:r>
          </w:p>
        </w:tc>
        <w:tc>
          <w:tcPr>
            <w:tcW w:w="287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uz pomoć učitelja sažeto prepričava pročitani tekst</w:t>
            </w:r>
          </w:p>
        </w:tc>
        <w:tc>
          <w:tcPr>
            <w:tcW w:w="300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djelomično samostalno sažeto prepričava pročitani tekst</w:t>
            </w:r>
          </w:p>
        </w:tc>
        <w:tc>
          <w:tcPr>
            <w:tcW w:w="2917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uglavnom samostalno sažeto prepričava pročitani tekst</w:t>
            </w:r>
          </w:p>
        </w:tc>
        <w:tc>
          <w:tcPr>
            <w:tcW w:w="281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samostalno sažeto prepričava pročitani tekst</w:t>
            </w:r>
          </w:p>
        </w:tc>
      </w:tr>
      <w:tr>
        <w:trPr>
          <w:trHeight w:val="850" w:hRule="atLeast"/>
        </w:trPr>
        <w:tc>
          <w:tcPr>
            <w:tcW w:w="2489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hr-HR"/>
              </w:rPr>
            </w:r>
          </w:p>
        </w:tc>
        <w:tc>
          <w:tcPr>
            <w:tcW w:w="2876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 w:eastAsia="T3Font_4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slabo, uz pomoć učitelja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razlikuje svrhu čitanja (osobna i javna)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naglas čita tekst uz često zastajkivanje ili pogrešno izgovaranje višesložnih riječi, ne poštuje rečenične intonacije </w:t>
            </w:r>
          </w:p>
          <w:p>
            <w:pPr>
              <w:pStyle w:val="Normal"/>
              <w:spacing w:before="0" w:after="80"/>
              <w:rPr>
                <w:rFonts w:ascii="Times New Roman" w:hAnsi="Times New Roman" w:eastAsia="T3Font_4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uz pomoć učitelja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 xml:space="preserve">dovodi u vezu elemente grafičke strukture sa sadržajem teksta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uz pomoć učitelja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izdvaja važne podatke iz čitanoga teksta i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 oblikuje djelomično jasne kratke bilješke o čitanome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jasno i logično sažeto prepričava pročitani tekst na temelju izdvojenih podataka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uspoređuje podatke sličnoga sadržaja pronađene u različitim izvorima i izabire ih prema korisnosti</w:t>
            </w:r>
          </w:p>
        </w:tc>
        <w:tc>
          <w:tcPr>
            <w:tcW w:w="3008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 w:eastAsia="T3Font_4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djelomično samostalno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 xml:space="preserve">razlikuje svrhu čitanja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naglas čita tekst uz povremeno zastajkivanje kod višesložnih riječi, uglavnom poštuje rečenične intonacije </w:t>
            </w:r>
          </w:p>
          <w:p>
            <w:pPr>
              <w:pStyle w:val="Normal"/>
              <w:spacing w:before="0" w:after="80"/>
              <w:rPr>
                <w:rFonts w:ascii="Times New Roman" w:hAnsi="Times New Roman" w:eastAsia="T3Font_4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djelomično samostalno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 xml:space="preserve">dovodi u vezu elemente grafičke strukture sa sadržajem teksta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izdvaja važne podatke iz čitanoga teksta i oblikuje uglavnom jasne kratke bilješke o čitanome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jasno i logično sažeto prepričava pročitani tekst na temelju izdvojenih podataka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djelomično se samostalno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uspoređuje podatke sličnoga sadržaja pronađene u različitim izvorima i izabire ih prema korisnosti</w:t>
            </w:r>
          </w:p>
        </w:tc>
        <w:tc>
          <w:tcPr>
            <w:tcW w:w="2917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 w:eastAsia="T3Font_4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uglavnom samostalno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 xml:space="preserve">razlikuje svrhu čitanja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naglas čita tekst fluentno i točno, poštuje rečenične intonacije, ali bez izražajnosti </w:t>
            </w:r>
          </w:p>
          <w:p>
            <w:pPr>
              <w:pStyle w:val="Normal"/>
              <w:spacing w:before="0" w:after="80"/>
              <w:rPr>
                <w:rFonts w:ascii="Times New Roman" w:hAnsi="Times New Roman" w:eastAsia="T3Font_4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uglavnom samostalno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dovodi u vezu elemente grafičke strukture sa sadržajem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izdvaja važne podatke iz čitanoga teksta i oblikuje jasne kratke bilješke o pročitanome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jasno i logično prepričava pročitani tekst na temelju izdvojenih podataka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uglavnom samostalno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uspoređuje podatke sličnoga sadržaja pronađene u različitim izvorima i izabire ih prema korisnosti</w:t>
            </w:r>
          </w:p>
        </w:tc>
        <w:tc>
          <w:tcPr>
            <w:tcW w:w="2816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 w:eastAsia="T3Font_4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samostalno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razlikuje svrhu čitanja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naglas čita tekst fluentno i točno, poštuje rečenične intonacije, u čitanju postiže izražajnost </w:t>
            </w:r>
          </w:p>
          <w:p>
            <w:pPr>
              <w:pStyle w:val="Normal"/>
              <w:spacing w:before="0" w:after="80"/>
              <w:rPr>
                <w:rFonts w:ascii="Times New Roman" w:hAnsi="Times New Roman" w:eastAsia="T3Font_4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samostalno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dovodi u vezu elemente grafičke strukture sa sadržajem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izdvaja važne podatke iz čitanoga teksta i oblikuje jasne kratke bilješke o pročitanome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jasno i logično prepričava pročitani tekst na temelju izdvojenih podataka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uspoređuje podatke sličnoga sadržaja pronađene u različitim izvorima i izabire ih prema korisnosti</w:t>
            </w:r>
          </w:p>
        </w:tc>
      </w:tr>
      <w:tr>
        <w:trPr>
          <w:trHeight w:val="1130" w:hRule="atLeast"/>
        </w:trPr>
        <w:tc>
          <w:tcPr>
            <w:tcW w:w="2489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4"/>
                <w:szCs w:val="24"/>
                <w:lang w:eastAsia="hr-HR"/>
              </w:rPr>
              <w:t>HJ A.6.4.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4"/>
                <w:szCs w:val="24"/>
                <w:lang w:eastAsia="hr-HR"/>
              </w:rPr>
              <w:t>Učenik piše pripovjedne i opisne tekstove prema planu pisanja.</w:t>
            </w:r>
          </w:p>
        </w:tc>
        <w:tc>
          <w:tcPr>
            <w:tcW w:w="287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piše pripovjedne i opisne tekstove prema planu pisanja slabo postižući uzročno-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-posljedičnu povezanost teksta</w:t>
            </w:r>
          </w:p>
        </w:tc>
        <w:tc>
          <w:tcPr>
            <w:tcW w:w="300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piše pripovjedne i opisne tekstove trodijelne prema planu pisanja djelomično postižući uzročno-posljedičnu povezanost teksta</w:t>
            </w:r>
          </w:p>
        </w:tc>
        <w:tc>
          <w:tcPr>
            <w:tcW w:w="2917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piše pripovjedne i opisne tekstove prema planu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pisanja uglavnom postižući uzročno-posljedičnu povezanost teksta</w:t>
            </w:r>
          </w:p>
        </w:tc>
        <w:tc>
          <w:tcPr>
            <w:tcW w:w="281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piše pripovjedne i opisne tekstove prema planu pisanja postižući uzročno-posljedičnu povezanost teksta</w:t>
            </w:r>
          </w:p>
        </w:tc>
      </w:tr>
      <w:tr>
        <w:trPr>
          <w:trHeight w:val="711" w:hRule="atLeast"/>
        </w:trPr>
        <w:tc>
          <w:tcPr>
            <w:tcW w:w="2489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hr-HR"/>
              </w:rPr>
            </w:r>
          </w:p>
        </w:tc>
        <w:tc>
          <w:tcPr>
            <w:tcW w:w="2876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i vodstvo učitelja izrađuje plan pisanja: sažima prikupljene podatke, uspoređuje podatke prema važnosti, određuje glavni cilj pisanja s obzirom na svrhu pisanja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raspoređuje sadržaj u skladu sa strukturom: dijelove plana oblikuje u manje cjeline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opisuje prema modelu, djelomično poštuje redoslijed promatranja, asocijacije na temelju kojih razvija tekst stereotipne su i siromašne, slabo postiže ulančanost rečenica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učiteljevih smjernica pripovijeda s različitih gledišta, nema logičkoga slijeda niti jasne uzročno-posljedične veze događaja u tekstu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pronalazi podatke u različitim izvorima prema svojim interesima i potrebama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preuzima i upotrebljava različite oblike informacija poštujući načela zaštite intelektualnoga vlasništva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točno piše veliko početno slovo u jednorječnim i višerječnim imenima te pravopisne znakove (točka sa zarezom, dvotočka, trotočka i zagrada)</w:t>
            </w:r>
          </w:p>
        </w:tc>
        <w:tc>
          <w:tcPr>
            <w:tcW w:w="3008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povremenu pomoć učitelja izrađuje plan pisanja: sažima prikupljene podatke, uspoređuje podatke prema važnosti, određuje glavni cilj pisanja s obzirom na svrhu pisanja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raspoređuje sadržaj u skladu sa strukturom: dijelove plana oblikuje u manje cjeline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opisuje prema smjernicama poštujući redoslijed promatranja, asocijacije na temelju kojih razvija tekst povremeno su inovativne, djelomično postiže ulančanost rečenica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uglavnom samostalno pripovijeda s različitih gledišta, uglavnom poštuje logički slijed, ne postiže posve jasnu uzročno-posljedičnu vezu događaja u tekstu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pronalazi podatke u različitim izvorima prema svojim interesima i potrebama</w:t>
            </w:r>
          </w:p>
          <w:p>
            <w:pPr>
              <w:pStyle w:val="Normal"/>
              <w:spacing w:before="0" w:after="120"/>
              <w:rPr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</w:t>
            </w:r>
            <w:r>
              <w:rPr>
                <w:rFonts w:eastAsia="Calibri" w:cs="Times New Roman"/>
                <w:sz w:val="19"/>
                <w:szCs w:val="19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preuzima i upotrebljava različite oblike informacija poštujući načela zaštite intelektualnoga vlasništva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točno piše veliko početno slovo u jednorječnim i višerječnim imenima te pravopisne znakove (točka sa zarezom, dvotočka, trotočka i zagrada)</w:t>
            </w:r>
          </w:p>
        </w:tc>
        <w:tc>
          <w:tcPr>
            <w:tcW w:w="2917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izrađuje plan pisanja: sažima prikupljene podatke, uspoređuje podatke prema važnosti, određuje glavni cilj pisanja s obzirom na svrhu pisanja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raspoređuje sadržaj u skladu sa strukturom: dijelove plana oblikuje u manje cjeline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opisuje prema smjernicama poštujući redoslijed promatranja, asocijacije na temelju kojih razvija tekst uglavnom su inovativne i zanimljive, uglavnom postiže ulančanost rečenica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pripovijeda s različitih gledišta, uglavnom postiže uzročno-posljedičnu povezanost teksta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se samostalno pronalazi podatke u različitim izvorima prema svojim interesima i potrebama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uglavnom samostalno preuzima i upotrebljava različite oblike informacija poštujući načela zaštite intelektualnoga vlasništva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točno piše veliko početno slovo u jednorječnim i višerječnim imenima te pravopisne znakove (točka sa zarezom, dvotočka, trotočka i zagrada)</w:t>
            </w:r>
          </w:p>
        </w:tc>
        <w:tc>
          <w:tcPr>
            <w:tcW w:w="2816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izrađuje plan pisanja: sažima prikupljene podatke, uspoređuje podatke prema važnosti, određuje glavni cilj pisanja s obzirom na svrhu pisanja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raspoređuje sadržaj u skladu sa strukturom: dijelove plana oblikuje u manje cjeline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opisuje prema vlastitome planu poštujući redoslijed promatranja,</w:t>
            </w:r>
            <w:r>
              <w:rPr>
                <w:rFonts w:eastAsia="Calibri" w:cs="Times New Roman"/>
                <w:sz w:val="19"/>
                <w:szCs w:val="19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asocijacije na temelju kojih razvija tekst inovativne su i zanimljive, postiže ulančanost rečenica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color w:val="FF0000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pripovijeda s različitih gledišta, postiže uzročno-posljedičnu povezanost teksta, u pripovijedanje unosi različite pojedinosti u skladu s gledištem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pronalazi podatke u različitim izvorima prema svojim interesima i potrebama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samostalno preuzima i upotrebljava različite oblike informacija poštujući načela zaštite intelektualnoga vlasništva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točno piše veliko početno slovo u jednorječnim i višerječnim imenima te pravopisne znakove (točka sa zarezom, dvotočka, trotočka i zagrada)</w:t>
            </w:r>
          </w:p>
        </w:tc>
      </w:tr>
      <w:tr>
        <w:trPr>
          <w:trHeight w:val="1130" w:hRule="atLeast"/>
        </w:trPr>
        <w:tc>
          <w:tcPr>
            <w:tcW w:w="2489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4"/>
                <w:szCs w:val="24"/>
                <w:lang w:eastAsia="hr-HR"/>
              </w:rPr>
              <w:t>HJ A.6.5. Učenik oblikuje tekst i primjenjuje jezična znanja o promjenjivim vrstama riječi na oglednim i čestim primjerima.</w:t>
            </w:r>
          </w:p>
        </w:tc>
        <w:tc>
          <w:tcPr>
            <w:tcW w:w="287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uz pomoć učitelja upotrebljava u govoru i pismu zamjenice, brojeve i glagolske oblike</w:t>
            </w:r>
          </w:p>
        </w:tc>
        <w:tc>
          <w:tcPr>
            <w:tcW w:w="300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djelomično samostalno upotrebljava u govoru i pismu zamjenice, brojeve i glagolske oblike</w:t>
            </w:r>
          </w:p>
        </w:tc>
        <w:tc>
          <w:tcPr>
            <w:tcW w:w="2917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uglavnom samostalno upotrebljava u govoru i pismu zamjenice, brojeve i glagolske oblike</w:t>
            </w:r>
          </w:p>
        </w:tc>
        <w:tc>
          <w:tcPr>
            <w:tcW w:w="281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samostalno upotrebljava u govoru i pismu zamjenice, brojeve i glagolske oblike</w:t>
            </w:r>
          </w:p>
        </w:tc>
      </w:tr>
      <w:tr>
        <w:trPr>
          <w:trHeight w:val="1130" w:hRule="atLeast"/>
        </w:trPr>
        <w:tc>
          <w:tcPr>
            <w:tcW w:w="2489" w:type="dxa"/>
            <w:vMerge w:val="continue"/>
            <w:tcBorders/>
            <w:shd w:fill="auto" w:val="clea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hr-HR"/>
              </w:rPr>
            </w:r>
          </w:p>
        </w:tc>
        <w:tc>
          <w:tcPr>
            <w:tcW w:w="2876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prepoznaje osobne, posvojne, povratno-</w:t>
              <w:br/>
              <w:t>-posvojnu, povratnu, pokazne i upitne zamjenice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točno upotrebljava u govoru i pismu glagolske imenice, glagolski pridjev trpni; glavne i redne brojeve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točno upotrebljava u govoru i pismu glagolske oblike za izricanje vremena i načina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provodi (i, gdje je potrebno, bilježi) glasovne promjene u riječima</w:t>
            </w:r>
          </w:p>
        </w:tc>
        <w:tc>
          <w:tcPr>
            <w:tcW w:w="3008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prepoznaje osobne, posvojne, povratno-</w:t>
              <w:br/>
              <w:t>-posvojnu, povratnu, pokazne i upitne zamjenice, djelomično točno rabi oblike navedenih zamjenica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djelomično točno upotrebljava u govoru i pismu glagolske imenice, glagolski pridjev trpni; glavne i redne brojeve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točno upotrebljava u govoru i pismu glagolske oblike za izricanje vremena i načina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povremeno samostalno i točno provodi (i, gdje je potrebno, bilježi) glasovne promjene u riječima</w:t>
            </w:r>
          </w:p>
        </w:tc>
        <w:tc>
          <w:tcPr>
            <w:tcW w:w="2917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prepoznaje i uglavnom točno rabi sve oblike osobnih, posvojnih, povratno-posvojne, povratne, pokaznih i upitnih zamjenica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točno upotrebljava u govoru i pismu glagolske imenice, glagolski pridjev trpni; glavne i redne brojeve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točno upotrebljava u govoru i pismu glagolske oblike za izricanje vremena i načina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i točno provodi (i, gdje je potrebno, bilježi) glasovne promjene u riječima</w:t>
            </w:r>
          </w:p>
        </w:tc>
        <w:tc>
          <w:tcPr>
            <w:tcW w:w="2816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prepoznaje i točno rabi sve oblike osobnih, posvojnih, povratno-posvojne, povratne, pokaznih i upitnih zamjenica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točno upotrebljava u govoru i pismu glagolske imenice, glagolski pridjev trpni; glavne i redne brojeve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točno upotrebljava u govoru i pismu glagolske oblike za izricanje vremena i načina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i točno provodi (i, gdje je potrebno, bilježi) glasovne promjene u riječima</w:t>
            </w:r>
          </w:p>
        </w:tc>
      </w:tr>
      <w:tr>
        <w:trPr>
          <w:trHeight w:val="1130" w:hRule="atLeast"/>
        </w:trPr>
        <w:tc>
          <w:tcPr>
            <w:tcW w:w="2489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4"/>
                <w:szCs w:val="24"/>
                <w:lang w:eastAsia="hr-HR"/>
              </w:rPr>
              <w:t>HJ A.6.6.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4"/>
                <w:szCs w:val="24"/>
                <w:lang w:eastAsia="hr-HR"/>
              </w:rPr>
              <w:t>Učenik uočava jezičnu raznolikost hrvatskoga jezika kroz hrvatsku povijest.</w:t>
            </w:r>
          </w:p>
        </w:tc>
        <w:tc>
          <w:tcPr>
            <w:tcW w:w="287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uz pomoć učitelja prepoznaje hrvatska narječja i govore te nabraja spomenike hrvatske srednjovjekovne pismenosti </w:t>
            </w:r>
          </w:p>
        </w:tc>
        <w:tc>
          <w:tcPr>
            <w:tcW w:w="300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djelomično samostalno prepoznaje hrvatska narječja i govore, nabraja i djelomično samostalno tumači važnost spomenika hrvatske srednjovjekovne pismenosti </w:t>
            </w:r>
          </w:p>
        </w:tc>
        <w:tc>
          <w:tcPr>
            <w:tcW w:w="2917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uglavnom samostalno prepoznaje hrvatska narječja i govore, nabraja i uglavnom samostalno tumači važnost spomenika hrvatske srednjovjekovne pismenosti </w:t>
            </w:r>
          </w:p>
        </w:tc>
        <w:tc>
          <w:tcPr>
            <w:tcW w:w="281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samostalno prepoznaje hrvatska narječja i govore, nabraja i samostalno tumači važnost spomenika hrvatske srednjovjekovne pismenosti</w:t>
            </w:r>
          </w:p>
        </w:tc>
      </w:tr>
      <w:tr>
        <w:trPr>
          <w:trHeight w:val="1130" w:hRule="atLeast"/>
        </w:trPr>
        <w:tc>
          <w:tcPr>
            <w:tcW w:w="2489" w:type="dxa"/>
            <w:vMerge w:val="continue"/>
            <w:tcBorders/>
            <w:shd w:fill="auto" w:val="clea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hr-HR"/>
              </w:rPr>
            </w:r>
          </w:p>
        </w:tc>
        <w:tc>
          <w:tcPr>
            <w:tcW w:w="2876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prepoznaje hrvatska narječja i govore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objašnjava pojmove trojezičnost (staroslavenski, starohrvatski i latinski) i tropismenost (glagoljica, hrvatska ćirilica/bosančica, latinica) tijekom hrvatske povijesti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nabraja spomenike hrvatske srednjovjekovne pismenosti i imenuje hrvatski Prvotisak</w:t>
            </w:r>
          </w:p>
        </w:tc>
        <w:tc>
          <w:tcPr>
            <w:tcW w:w="3008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prepoznaje hrvatska narječja i govore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objašnjava pojmove trojezičnost (staroslavenski, starohrvatski i latinski) i tropismenost (glagoljica, hrvatska ćirilica/bosančica, latinica) tijekom hrvatske povijesti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nabraja spomenike hrvatske srednjovjekovne pismenosti i imenuje hrvatski Prvotisak, djelomično samostalno tumači važnost spomenika hrvatske srednjovjekovne pismenosti</w:t>
            </w:r>
          </w:p>
        </w:tc>
        <w:tc>
          <w:tcPr>
            <w:tcW w:w="2917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prepoznaje hrvatska narječja i govore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objašnjava pojmove trojezičnost (staroslavenski, starohrvatski i latinski) i tropismenost (glagoljica, hrvatska ćirilica/bosančica, latinica) tijekom hrvatske povijesti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nabraja spomenike hrvatske srednjovjekovne pismenosti i imenuje hrvatski Prvotisak, uglavnom samostalno tumači važnost spomenika hrvatske srednjovjekovne pismenosti</w:t>
            </w:r>
          </w:p>
        </w:tc>
        <w:tc>
          <w:tcPr>
            <w:tcW w:w="2816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prepoznaje hrvatska narječja i govore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objašnjava pojmove trojezičnost (staroslavenski, starohrvatski i latinski) i tropismenost (glagoljica, hrvatska ćirilica/bosančica, latinica) tijekom hrvatske povijesti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nabraja spomenike hrvatske srednjovjekovne pismenosti i imenuje hrvatski Prvotisak, samostalno tumači važnost spomenika hrvatske srednjovjekovne pismenosti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  <w:r>
        <w:br w:type="page"/>
      </w:r>
    </w:p>
    <w:tbl>
      <w:tblPr>
        <w:tblStyle w:val="TableGrid"/>
        <w:tblW w:w="1410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71"/>
        <w:gridCol w:w="3013"/>
        <w:gridCol w:w="2999"/>
        <w:gridCol w:w="2806"/>
        <w:gridCol w:w="2817"/>
      </w:tblGrid>
      <w:tr>
        <w:trPr>
          <w:trHeight w:val="570" w:hRule="atLeast"/>
        </w:trPr>
        <w:tc>
          <w:tcPr>
            <w:tcW w:w="14106" w:type="dxa"/>
            <w:gridSpan w:val="5"/>
            <w:tcBorders/>
            <w:shd w:color="auto" w:fill="F4B083" w:themeFill="accent2" w:themeFillTint="99" w:val="clear"/>
            <w:vAlign w:val="center"/>
          </w:tcPr>
          <w:p>
            <w:pPr>
              <w:pStyle w:val="Normal"/>
              <w:pageBreakBefore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sz w:val="28"/>
                <w:szCs w:val="28"/>
                <w:lang w:eastAsia="hr-HR"/>
              </w:rPr>
              <w:t>KNJIŽEVNOST I STVARALAŠTVO</w:t>
            </w:r>
          </w:p>
        </w:tc>
      </w:tr>
      <w:tr>
        <w:trPr>
          <w:trHeight w:val="426" w:hRule="atLeast"/>
        </w:trPr>
        <w:tc>
          <w:tcPr>
            <w:tcW w:w="2471" w:type="dxa"/>
            <w:vMerge w:val="restart"/>
            <w:tcBorders/>
            <w:shd w:color="auto" w:fill="FBE4D5" w:themeFill="accent2" w:themeFillTint="3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Cs w:val="22"/>
                <w:lang w:eastAsia="hr-HR"/>
              </w:rPr>
              <w:t>ODGOJNO-OBRAZOVNI ISHOD</w:t>
            </w:r>
          </w:p>
        </w:tc>
        <w:tc>
          <w:tcPr>
            <w:tcW w:w="11635" w:type="dxa"/>
            <w:gridSpan w:val="4"/>
            <w:tcBorders/>
            <w:shd w:color="auto" w:fill="FBE4D5" w:themeFill="accent2" w:themeFillTint="3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RAZINA USVOJENOSTI ISHODA I PODISHODA</w:t>
            </w:r>
          </w:p>
        </w:tc>
      </w:tr>
      <w:tr>
        <w:trPr>
          <w:trHeight w:val="416" w:hRule="atLeast"/>
        </w:trPr>
        <w:tc>
          <w:tcPr>
            <w:tcW w:w="2471" w:type="dxa"/>
            <w:vMerge w:val="continue"/>
            <w:tcBorders/>
            <w:shd w:color="auto" w:fill="FBE4D5" w:themeFill="accent2" w:themeFillTint="3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hr-HR"/>
              </w:rPr>
            </w:r>
          </w:p>
        </w:tc>
        <w:tc>
          <w:tcPr>
            <w:tcW w:w="3013" w:type="dxa"/>
            <w:tcBorders/>
            <w:shd w:color="auto" w:fill="FBE4D5" w:themeFill="accent2" w:themeFillTint="3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Cs w:val="22"/>
                <w:lang w:eastAsia="hr-HR"/>
              </w:rPr>
              <w:t>DOVOLJNA</w:t>
            </w:r>
          </w:p>
        </w:tc>
        <w:tc>
          <w:tcPr>
            <w:tcW w:w="2999" w:type="dxa"/>
            <w:tcBorders/>
            <w:shd w:color="auto" w:fill="FBE4D5" w:themeFill="accent2" w:themeFillTint="3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DOBRA</w:t>
            </w:r>
          </w:p>
        </w:tc>
        <w:tc>
          <w:tcPr>
            <w:tcW w:w="2806" w:type="dxa"/>
            <w:tcBorders/>
            <w:shd w:color="auto" w:fill="FBE4D5" w:themeFill="accent2" w:themeFillTint="3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VRLO DOBRA</w:t>
            </w:r>
          </w:p>
        </w:tc>
        <w:tc>
          <w:tcPr>
            <w:tcW w:w="2817" w:type="dxa"/>
            <w:tcBorders/>
            <w:shd w:color="auto" w:fill="FBE4D5" w:themeFill="accent2" w:themeFillTint="3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ODLIČNA</w:t>
            </w:r>
          </w:p>
        </w:tc>
      </w:tr>
      <w:tr>
        <w:trPr>
          <w:trHeight w:val="1246" w:hRule="atLeast"/>
        </w:trPr>
        <w:tc>
          <w:tcPr>
            <w:tcW w:w="2471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4"/>
                <w:szCs w:val="24"/>
                <w:lang w:eastAsia="hr-HR"/>
              </w:rPr>
              <w:t>HJ B.6.1. Učenik obrazlaže vlastite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4"/>
                <w:szCs w:val="24"/>
                <w:lang w:eastAsia="hr-HR"/>
              </w:rPr>
              <w:t>stavove u vezi s pročitanim tekstom.</w:t>
            </w:r>
          </w:p>
        </w:tc>
        <w:tc>
          <w:tcPr>
            <w:tcW w:w="3013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uz poticaj učitelja šturo opisuje vlastite predodžbe i iskustva te iskustva izrečena u književnome tekstu</w:t>
            </w:r>
          </w:p>
        </w:tc>
        <w:tc>
          <w:tcPr>
            <w:tcW w:w="2999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izražava emocionalni doživljaj i djelomično razumijevanje književnoga teksta</w:t>
            </w:r>
          </w:p>
        </w:tc>
        <w:tc>
          <w:tcPr>
            <w:tcW w:w="280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izražava emocionalni doživljaj i uglavnom točno razumijevanje književnoga teksta</w:t>
            </w:r>
          </w:p>
        </w:tc>
        <w:tc>
          <w:tcPr>
            <w:tcW w:w="2817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izražava emocionalni doživljaj i točno razumijevanje književnoga teksta</w:t>
            </w:r>
          </w:p>
        </w:tc>
      </w:tr>
      <w:tr>
        <w:trPr>
          <w:trHeight w:val="831" w:hRule="atLeast"/>
        </w:trPr>
        <w:tc>
          <w:tcPr>
            <w:tcW w:w="2471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hr-HR"/>
              </w:rPr>
            </w:r>
          </w:p>
        </w:tc>
        <w:tc>
          <w:tcPr>
            <w:tcW w:w="3013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uočava kako stavovi i vrijednosti u književnim tekstovima utječu na čitatelje, površno ih i šturo uspoređuje s vlastitim stavovima i vrijednostima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odgovarajući na pitanja učitelja opisuje na koji način i u kojoj mjeri književni tekst utječe na oblikovanje njegovih stavova i vrijednosti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izražava vlastite predodžbe o stvarnosti i uvjerenja na temelju čitateljskoga iskustva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uočava etičku razinu književnoga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prepoznaje različite obrasce ponašanja likova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uočava svrhu književnoga teksta: pobuđivanje osjećaja i ljudske odgovornosti</w:t>
            </w:r>
          </w:p>
        </w:tc>
        <w:tc>
          <w:tcPr>
            <w:tcW w:w="2999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uočava kako stavovi i vrijednosti u književnim tekstovima utječu na čitatelje, sažeto ih uspoređuje s vlastitim stavovima i vrijednostima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povremeno potpitanje učitelja opisuje na koji način i u kojoj mjeri književni tekst utječe na oblikovanje njegovih stavova i vrijednosti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povremeno izražava vlastite predodžbe o stvarnosti i uvjerenja na temelju čitateljskoga iskustva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uočava etičku razinu književnoga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</w:t>
            </w:r>
            <w:r>
              <w:rPr>
                <w:rFonts w:eastAsia="Calibri" w:cs="Times New Roman"/>
                <w:sz w:val="19"/>
                <w:szCs w:val="19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prepoznaje različite obrasce ponašanja likova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povremeno uočava svrhu književnoga teksta: pobuđivanje osjećaja i ljudske odgovornosti</w:t>
            </w:r>
          </w:p>
        </w:tc>
        <w:tc>
          <w:tcPr>
            <w:tcW w:w="2806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uočava kako stavovi i vrijednosti u književnim tekstovima utječu na čitatelje, opširnije ih uspoređuje s vlastitim stavovima i vrijednostima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opisuje na koji način i u kojoj mjeri književni tekst utječe na oblikovanje njegovih stavova i vrijednosti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uglavnom redovito izražava vlastite predodžbe o stvarnosti i uvjerenja na temelju čitateljskoga iskustva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uočava i tumači etičku razinu književnoga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prepoznaje i tumači različite obrasce ponašanja likova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redovito uočava svrhu književnoga teksta: pobuđivanje osjećaja i ljudske odgovornosti</w:t>
            </w:r>
          </w:p>
        </w:tc>
        <w:tc>
          <w:tcPr>
            <w:tcW w:w="2817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uočava kako stavovi i vrijednosti u književnim tekstovima utječu na čitatelje, opširno ih i lucidno uspoređuje s vlastitim stavovima i vrijednostima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i opširno opisuje na koji način i u kojoj mjeri književni tekst utječe na oblikovanje njegovih stavova i vrijednosti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redovito izražava vlastite predodžbe o stvarnosti i uvjerenja na temelju čitateljskoga iskustva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uočava i tumači etičku razinu književnoga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prepoznaje i tumači različite obrasce ponašanja likova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redovito uočava svrhu književnoga teksta: pobuđivanje osjećaja i ljudske odgovornosti</w:t>
            </w:r>
          </w:p>
        </w:tc>
      </w:tr>
      <w:tr>
        <w:trPr>
          <w:trHeight w:val="1130" w:hRule="atLeast"/>
        </w:trPr>
        <w:tc>
          <w:tcPr>
            <w:tcW w:w="2471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4"/>
                <w:szCs w:val="24"/>
                <w:lang w:eastAsia="hr-HR"/>
              </w:rPr>
              <w:t>HJ B.6.2. Učenik obrazlaže značenje književnoga teksta na temelju vlastitoga čitateljskog iskustva i znanja o književnosti.</w:t>
            </w:r>
          </w:p>
        </w:tc>
        <w:tc>
          <w:tcPr>
            <w:tcW w:w="3013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slabo razlikuje na primjerima obilježja proznih, lirskih i dramskih tekstova </w:t>
            </w:r>
          </w:p>
        </w:tc>
        <w:tc>
          <w:tcPr>
            <w:tcW w:w="2999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djelomično razlikuje na primjerima obilježja proznih, lirskih i dramskih tekstova</w:t>
            </w:r>
          </w:p>
        </w:tc>
        <w:tc>
          <w:tcPr>
            <w:tcW w:w="280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uglavnom razlikuje na primjerima obilježja proznih, lirskih i dramskih tekstova</w:t>
            </w:r>
          </w:p>
        </w:tc>
        <w:tc>
          <w:tcPr>
            <w:tcW w:w="2817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razlikuje na primjerima obilježja proznih, lirskih i dramskih tekstova</w:t>
            </w:r>
          </w:p>
        </w:tc>
      </w:tr>
      <w:tr>
        <w:trPr>
          <w:trHeight w:val="1130" w:hRule="atLeast"/>
        </w:trPr>
        <w:tc>
          <w:tcPr>
            <w:tcW w:w="2471" w:type="dxa"/>
            <w:vMerge w:val="continue"/>
            <w:tcBorders/>
            <w:shd w:color="auto" w:fill="EDEDED" w:themeFill="accent3" w:themeFillTint="33" w:val="clea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hr-HR"/>
              </w:rPr>
            </w:r>
          </w:p>
        </w:tc>
        <w:tc>
          <w:tcPr>
            <w:tcW w:w="3013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uz pomoć učitelja otkriva značenje teksta na temelju suodnosa motiva i teme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uz pomoć učitelja objašnjava događaj, opisuje ulogu likova te mjesto i vrijeme radnje u književnome tekstu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uz pomoć učitelja razlikuje pripovjedača u 1. i 3. osobi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rijetko objašnjava vlastito razumijevanje pjesničkih slika i prenesenoga značenja pridajući mu vlastito značenje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prepoznaje na primjerima različite vrste stihova i strofa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uočava ulogu ponavljanja: asonanca, aliteracija; vrste rime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uočava dramski sukob kao temelj dramske radnje</w:t>
            </w:r>
          </w:p>
        </w:tc>
        <w:tc>
          <w:tcPr>
            <w:tcW w:w="2999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djelomično samostalno otkriva značenje teksta na temelju suodnosa motiva i teme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djelomično samostalno objašnjava događaj, opisuje ulogu likova te mjesto i vrijeme radnje u književnome tekstu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razlikuje pripovjedača u 1. i 3. osobi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povremeno objašnjava vlastito razumijevanje pjesničkih slika i prenesenoga značenja pridajući mu vlastito značenje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prepoznaje na primjerima različite vrste stihova i strofa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uočava ulogu ponavljanja: asonanca, aliteracija; vrste rime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uočava dramski sukob kao temelj dramske radnje</w:t>
            </w:r>
          </w:p>
        </w:tc>
        <w:tc>
          <w:tcPr>
            <w:tcW w:w="2806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otkriva značenje teksta na temelju suodnosa motiva i teme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objašnjava događaj, opisuje ulogu likova te mjesto i vrijeme radnje u književnome tekstu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razlikuje pripovjedača u 1. i 3. osobi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redovito objašnjava vlastito razumijevanje pjesničkih slika i prenesenoga značenja pridajući mu vlastito značenje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prepoznaje na primjerima različite vrste stihova i strofa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uočava ulogu ponavljanja: asonanca, aliteracija; vrste rime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uočava dramski sukob kao temelj dramske radnje</w:t>
            </w:r>
          </w:p>
        </w:tc>
        <w:tc>
          <w:tcPr>
            <w:tcW w:w="2817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otkriva značenje teksta na temelju suodnosa motiva i teme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objašnjava događaj, opisuje ulogu likova te mjesto i vrijeme radnje u književnome tekstu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razlikuje pripovjedača u 1. i 3. osobi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redovito objašnjava vlastito razumijevanje pjesničkih slika i prenesenoga značenja pridajući mu vlastito značenje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prepoznaje na primjerima različite vrste stihova i strofa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uočava ulogu ponavljanja: asonanca, aliteracija; vrste rime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uočava dramski sukob kao temelj dramske radnje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ascii="Times New Roman" w:hAnsi="Times New Roman"/>
          <w:b/>
          <w:b/>
          <w:bCs/>
          <w:color w:val="C45911" w:themeColor="accent2" w:themeShade="bf"/>
          <w:sz w:val="24"/>
          <w:szCs w:val="24"/>
        </w:rPr>
      </w:pPr>
      <w:r>
        <w:rPr>
          <w:rFonts w:ascii="Times New Roman" w:hAnsi="Times New Roman"/>
          <w:b/>
          <w:bCs/>
          <w:color w:val="C45911" w:themeColor="accent2" w:themeShade="bf"/>
          <w:sz w:val="24"/>
          <w:szCs w:val="24"/>
        </w:rPr>
        <w:t>HJ B.6.3. Učenik obrazlaže vlastiti izbor književnoga teksta uočavajući svrhu književnoga teksta.</w:t>
      </w:r>
    </w:p>
    <w:p>
      <w:pPr>
        <w:pStyle w:val="Normal"/>
        <w:rPr>
          <w:rFonts w:ascii="Times New Roman" w:hAnsi="Times New Roman" w:eastAsia="T3Font_4" w:cs="Times New Roman"/>
          <w:sz w:val="20"/>
          <w:szCs w:val="20"/>
        </w:rPr>
      </w:pPr>
      <w:r>
        <w:rPr>
          <w:rFonts w:eastAsia="T3Font_4" w:cs="Times New Roman" w:ascii="Times New Roman" w:hAnsi="Times New Roman"/>
          <w:sz w:val="20"/>
          <w:szCs w:val="20"/>
        </w:rPr>
        <w:t>Književnoteorijska znanja u službi su proširivanja vlastitoga iskustva čitanja i razvijanja pozitivnoga stava prema čitanju.</w:t>
      </w:r>
    </w:p>
    <w:p>
      <w:pPr>
        <w:pStyle w:val="Normal"/>
        <w:rPr>
          <w:rFonts w:ascii="Times New Roman" w:hAnsi="Times New Roman"/>
          <w:b/>
          <w:b/>
          <w:bCs/>
          <w:color w:val="C45911" w:themeColor="accent2" w:themeShade="bf"/>
          <w:sz w:val="24"/>
          <w:szCs w:val="24"/>
        </w:rPr>
      </w:pPr>
      <w:r>
        <w:rPr>
          <w:rFonts w:ascii="Times New Roman" w:hAnsi="Times New Roman"/>
          <w:b/>
          <w:bCs/>
          <w:color w:val="C45911" w:themeColor="accent2" w:themeShade="bf"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/>
          <w:bCs/>
          <w:color w:val="C45911" w:themeColor="accent2" w:themeShade="bf"/>
          <w:sz w:val="24"/>
          <w:szCs w:val="24"/>
        </w:rPr>
      </w:pPr>
      <w:r>
        <w:rPr>
          <w:rFonts w:ascii="Times New Roman" w:hAnsi="Times New Roman"/>
          <w:b/>
          <w:bCs/>
          <w:color w:val="C45911" w:themeColor="accent2" w:themeShade="bf"/>
          <w:sz w:val="24"/>
          <w:szCs w:val="24"/>
        </w:rPr>
        <w:t>HJ B.6.4. Učenik se stvaralački izražava prema vlastitome interesu potaknut različitim iskustvima i doživljajima književnoga teksta.</w:t>
      </w:r>
    </w:p>
    <w:p>
      <w:pPr>
        <w:pStyle w:val="Normal"/>
        <w:rPr/>
      </w:pPr>
      <w:r>
        <w:rPr>
          <w:rFonts w:cs="Times New Roman" w:ascii="Times New Roman" w:hAnsi="Times New Roman"/>
          <w:sz w:val="20"/>
          <w:szCs w:val="20"/>
        </w:rPr>
        <w:t xml:space="preserve">Ishod se prati i ne podliježe vrednovanju. Učitelj cijeni učenikovu samostalnost i poštuje njegove mogućnosti. Učenik predstavlja uradak razrednomu odjelu, a učitelj ga može nagraditi ocjenom za izniman trud. </w:t>
      </w:r>
      <w:r>
        <w:br w:type="page"/>
      </w:r>
    </w:p>
    <w:tbl>
      <w:tblPr>
        <w:tblStyle w:val="TableGrid"/>
        <w:tblW w:w="1394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46"/>
        <w:gridCol w:w="2805"/>
        <w:gridCol w:w="2941"/>
        <w:gridCol w:w="2764"/>
        <w:gridCol w:w="2692"/>
      </w:tblGrid>
      <w:tr>
        <w:trPr>
          <w:trHeight w:val="570" w:hRule="atLeast"/>
        </w:trPr>
        <w:tc>
          <w:tcPr>
            <w:tcW w:w="13948" w:type="dxa"/>
            <w:gridSpan w:val="5"/>
            <w:tcBorders/>
            <w:shd w:color="auto" w:fill="F4B083" w:themeFill="accent2" w:themeFillTint="99" w:val="clear"/>
            <w:vAlign w:val="center"/>
          </w:tcPr>
          <w:p>
            <w:pPr>
              <w:pStyle w:val="Normal"/>
              <w:pageBreakBefore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sz w:val="28"/>
                <w:szCs w:val="28"/>
                <w:lang w:eastAsia="hr-HR"/>
              </w:rPr>
              <w:t>KULTURA I MEDIJI</w:t>
            </w:r>
          </w:p>
        </w:tc>
      </w:tr>
      <w:tr>
        <w:trPr>
          <w:trHeight w:val="426" w:hRule="atLeast"/>
        </w:trPr>
        <w:tc>
          <w:tcPr>
            <w:tcW w:w="2746" w:type="dxa"/>
            <w:vMerge w:val="restart"/>
            <w:tcBorders/>
            <w:shd w:color="auto" w:fill="FBE4D5" w:themeFill="accent2" w:themeFillTint="3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Cs w:val="22"/>
                <w:lang w:eastAsia="hr-HR"/>
              </w:rPr>
              <w:t>ODGOJNO-OBRAZOVNI ISHOD</w:t>
            </w:r>
          </w:p>
        </w:tc>
        <w:tc>
          <w:tcPr>
            <w:tcW w:w="11202" w:type="dxa"/>
            <w:gridSpan w:val="4"/>
            <w:tcBorders/>
            <w:shd w:color="auto" w:fill="FBE4D5" w:themeFill="accent2" w:themeFillTint="3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RAZINA USVOJENOSTI ISHODA I PODISHODA</w:t>
            </w:r>
          </w:p>
        </w:tc>
      </w:tr>
      <w:tr>
        <w:trPr>
          <w:trHeight w:val="416" w:hRule="atLeast"/>
        </w:trPr>
        <w:tc>
          <w:tcPr>
            <w:tcW w:w="2746" w:type="dxa"/>
            <w:vMerge w:val="continue"/>
            <w:tcBorders/>
            <w:shd w:color="auto" w:fill="FBE4D5" w:themeFill="accent2" w:themeFillTint="3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hr-HR"/>
              </w:rPr>
            </w:r>
          </w:p>
        </w:tc>
        <w:tc>
          <w:tcPr>
            <w:tcW w:w="2805" w:type="dxa"/>
            <w:tcBorders/>
            <w:shd w:color="auto" w:fill="FBE4D5" w:themeFill="accent2" w:themeFillTint="3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Cs w:val="22"/>
                <w:lang w:eastAsia="hr-HR"/>
              </w:rPr>
              <w:t>DOVOLJNA</w:t>
            </w:r>
          </w:p>
        </w:tc>
        <w:tc>
          <w:tcPr>
            <w:tcW w:w="2941" w:type="dxa"/>
            <w:tcBorders/>
            <w:shd w:color="auto" w:fill="FBE4D5" w:themeFill="accent2" w:themeFillTint="3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DOBRA</w:t>
            </w:r>
          </w:p>
        </w:tc>
        <w:tc>
          <w:tcPr>
            <w:tcW w:w="2764" w:type="dxa"/>
            <w:tcBorders/>
            <w:shd w:color="auto" w:fill="FBE4D5" w:themeFill="accent2" w:themeFillTint="3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VRLO DOBRA</w:t>
            </w:r>
          </w:p>
        </w:tc>
        <w:tc>
          <w:tcPr>
            <w:tcW w:w="2692" w:type="dxa"/>
            <w:tcBorders/>
            <w:shd w:color="auto" w:fill="FBE4D5" w:themeFill="accent2" w:themeFillTint="3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ODLIČNA</w:t>
            </w:r>
          </w:p>
        </w:tc>
      </w:tr>
      <w:tr>
        <w:trPr>
          <w:trHeight w:val="1246" w:hRule="atLeast"/>
        </w:trPr>
        <w:tc>
          <w:tcPr>
            <w:tcW w:w="2746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4"/>
                <w:szCs w:val="24"/>
                <w:lang w:eastAsia="hr-HR"/>
              </w:rPr>
              <w:t>HJ C.6.1. Učenik uspoređuje različito predstavljanje istih medijskih sadržaja i njihov utjecaj na razvoj mišljenja i stavova.</w:t>
            </w:r>
          </w:p>
        </w:tc>
        <w:tc>
          <w:tcPr>
            <w:tcW w:w="2805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uz pomoć učitelja pronalazi primjere istoga medijskog sadržaja u različitim medijima i uočava različito predstavljanje sadržaja</w:t>
            </w:r>
          </w:p>
        </w:tc>
        <w:tc>
          <w:tcPr>
            <w:tcW w:w="2941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djelomično samostalno pronalazi primjere istoga medijskog sadržaja u različitim medijima i uočava različito predstavljanje sadržaja</w:t>
            </w:r>
          </w:p>
        </w:tc>
        <w:tc>
          <w:tcPr>
            <w:tcW w:w="2764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uglavnom samostalno pronalazi primjere istoga medijskog sadržaja u različitim medijima i uočava različito predstavljanje sadržaja</w:t>
            </w:r>
          </w:p>
        </w:tc>
        <w:tc>
          <w:tcPr>
            <w:tcW w:w="2692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samostalno pronalazi primjere istoga medijskog sadržaja u različitim medijima i uočava različito predstavljanje sadržaja</w:t>
            </w:r>
          </w:p>
        </w:tc>
      </w:tr>
      <w:tr>
        <w:trPr>
          <w:trHeight w:val="416" w:hRule="atLeast"/>
        </w:trPr>
        <w:tc>
          <w:tcPr>
            <w:tcW w:w="2746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hr-HR"/>
              </w:rPr>
            </w:r>
          </w:p>
        </w:tc>
        <w:tc>
          <w:tcPr>
            <w:tcW w:w="2805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uočava podjelu na komercijalne i nekomercijalne medije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uz pomoć učitelja uočava predstavljanje istih medijskih sadržaja u različitim medijima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objašnjava reakcije različitih primatelja na isti medijski tekst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pretpostavlja o ciljanoj publici na temelju pročitanoga teksta / pogledane predstave / filma / serije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opisuje kako se različitim postupcima, tehnikama te vizualnim i zvučnim znakovima oblikuje značenje medijske poruke i stvara željeni učinak na publiku</w:t>
            </w:r>
          </w:p>
        </w:tc>
        <w:tc>
          <w:tcPr>
            <w:tcW w:w="2941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djelomično samostalno uočava podjelu na komercijalne i nekomercijalne medije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uočava predstavljanje istih medijskih sadržaja u različitim medijima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objašnjava reakcije različitih primatelja na isti medijski tekst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pretpostavlja o ciljanoj publici na temelju pročitanoga teksta / pogledane predstave / filma / serije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opisuje kako se različitim postupcima, tehnikama te vizualnim i zvučnim znakovima oblikuje značenje medijske poruke i stvara željeni učinak na publiku</w:t>
            </w:r>
          </w:p>
        </w:tc>
        <w:tc>
          <w:tcPr>
            <w:tcW w:w="2764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uglavnom samostalno uočava podjelu na komercijalne i nekomercijalne medije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uočava predstavljanje istih medijskih sadržaja u različitim medijima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objašnjava reakcije različitih primatelja na isti medijski tekst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pretpostavlja o ciljanoj publici na temelju pročitanoga teksta / pogledane predstave / filma / serije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opisuje kako se različitim postupcima, tehnikama te vizualnim i zvučnim znakovima oblikuje značenje medijske poruke i stvara željeni učinak na publiku</w:t>
            </w:r>
          </w:p>
        </w:tc>
        <w:tc>
          <w:tcPr>
            <w:tcW w:w="2692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uočava podjelu na komercijalne i nekomercijalne medije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uočava predstavljanje istih medijskih sadržaja u različitim medijima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objašnjava reakcije različitih primatelja na isti medijski tekst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pretpostavlja o ciljanoj publici na temelju pročitanoga teksta / pogledane predstave / filma / serije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opisuje kako se različitim postupcima, tehnikama te vizualnim i zvučnim znakovima oblikuje značenje medijske poruke i stvara željeni učinak na publiku</w:t>
            </w:r>
          </w:p>
        </w:tc>
      </w:tr>
      <w:tr>
        <w:trPr>
          <w:trHeight w:val="958" w:hRule="atLeast"/>
        </w:trPr>
        <w:tc>
          <w:tcPr>
            <w:tcW w:w="2746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4"/>
                <w:szCs w:val="24"/>
                <w:lang w:eastAsia="hr-HR"/>
              </w:rPr>
              <w:t xml:space="preserve">HJ C.6.2. Učenik objašnjava značenje popularnokulturnih tekstova s obzirom na interese i prethodno iskustvo. </w:t>
            </w:r>
          </w:p>
        </w:tc>
        <w:tc>
          <w:tcPr>
            <w:tcW w:w="2805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uz pomoć učitelja prepoznaje popularno-kulturne tekstove kao dio trenutačne društvene stvarnosti</w:t>
            </w:r>
          </w:p>
        </w:tc>
        <w:tc>
          <w:tcPr>
            <w:tcW w:w="2941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djelomično samostalno prepoznaje popularno-kulturne tekstove kao dio trenutačne društvene stvarnosti</w:t>
            </w:r>
          </w:p>
        </w:tc>
        <w:tc>
          <w:tcPr>
            <w:tcW w:w="2764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uglavnom samostalno prepoznaje popularno-kulturne tekstove kao dio trenutačne društvene stvarnosti</w:t>
            </w:r>
          </w:p>
        </w:tc>
        <w:tc>
          <w:tcPr>
            <w:tcW w:w="2692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C45911" w:themeColor="accent2" w:themeShade="b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C45911" w:themeColor="accent2" w:themeShade="bf"/>
                <w:sz w:val="20"/>
                <w:szCs w:val="20"/>
                <w:lang w:eastAsia="hr-HR"/>
              </w:rPr>
              <w:t>samostalno prepoznaje popularno-kulturne tekstove kao dio trenutačne društvene stvarnosti</w:t>
            </w:r>
          </w:p>
        </w:tc>
      </w:tr>
      <w:tr>
        <w:trPr>
          <w:trHeight w:val="831" w:hRule="atLeast"/>
        </w:trPr>
        <w:tc>
          <w:tcPr>
            <w:tcW w:w="2746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hr-HR"/>
              </w:rPr>
            </w:r>
          </w:p>
        </w:tc>
        <w:tc>
          <w:tcPr>
            <w:tcW w:w="2805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objašnjava vezu teksta i svijeta koji ga okružuje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rijetko objašnjava značenje popularnokulturnih tekstova i povezuje ih s vlastitim interesima, željama i iskustvom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uočava priču i likove kao temelje popularnokulturnih tekstova, tj. kao objekte znatiželje, sviđanja/nesviđanja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izdvaja dijelove popularnokulturnih tekstova koji predstavljaju razlike i različita uvjerenja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uspoređuje vlastita i tuđa mišljenja o popularnokulturnim tekstovima u skladu s dosadašnjim iskustvom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objašnjava pojam popularne kulture na poznatim primjerima popularnokulturnih tekstova</w:t>
            </w:r>
          </w:p>
        </w:tc>
        <w:tc>
          <w:tcPr>
            <w:tcW w:w="2941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povremeno objašnjava vezu teksta i svijeta koji ga okružuje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povremeno objašnjava značenje popularnokulturnih tekstova i povezuje ih s vlastitim interesima, željama i iskustvom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uočava priču i likove kao temelje popularnokulturnih tekstova, tj. kao objekte znatiželje, sviđanja/nesviđanja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izdvaja dijelove popularnokulturnih tekstova koji predstavljaju razlike i različita uvjerenja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povremeno uspoređuje vlastita i tuđa mišljenja o popularnokulturnim tekstovima u skladu s dosadašnjim iskustvom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objašnjava pojam popularne kulture na poznatim primjerima popularnokulturnih tekstova</w:t>
            </w:r>
          </w:p>
        </w:tc>
        <w:tc>
          <w:tcPr>
            <w:tcW w:w="2764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redovito objašnjava vezu teksta i svijeta koji ga okružuje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uglavnom redovito objašnjava značenje popularnokulturnih tekstova i povezuje ih s vlastitim interesima, željama i iskustvom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uočava priču i likove kao temelje popularnokulturnih tekstova, tj. kao objekte znatiželje, sviđanja/nesviđanja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izdvaja dijelove popularnokulturnih tekstova koji predstavljaju razlike i različita uvjerenja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redovito uspoređuje vlastita i tuđa mišljenja o popularnokulturnim tekstovima u skladu s dosadašnjim iskustvom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objašnjava pojam popularne kulture na poznatim primjerima popularnokulturnih tekstova</w:t>
            </w:r>
          </w:p>
        </w:tc>
        <w:tc>
          <w:tcPr>
            <w:tcW w:w="2692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redovito objašnjava vezu teksta i svijeta koji ga okružuje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redovito objašnjava značenje popularnokulturnih tekstova i povezuje ih s vlastitim interesima, željama i iskustvom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uočava priču i likove kao temelje popularnokulturnih tekstova, tj. kao objekte znatiželje, sviđanja/nesviđanja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izdvaja dijelove popularnokulturnih tekstova koji predstavljaju razlike i različita uvjerenja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redovito uspoređuje vlastita i tuđa mišljenja o popularnokulturnim tekstovima u skladu s dosadašnjim iskustvom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samostalno objašnjava pojam popularne kulture na poznatim primjerima popularnokulturnih tekstova 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ascii="Times New Roman" w:hAnsi="Times New Roman" w:eastAsia="T3Font_4" w:cs="Times New Roman"/>
          <w:b/>
          <w:b/>
          <w:bCs/>
          <w:color w:val="C45911" w:themeColor="accent2" w:themeShade="bf"/>
          <w:sz w:val="24"/>
          <w:szCs w:val="24"/>
        </w:rPr>
      </w:pPr>
      <w:r>
        <w:rPr>
          <w:rFonts w:eastAsia="T3Font_4" w:cs="Times New Roman" w:ascii="Times New Roman" w:hAnsi="Times New Roman"/>
          <w:b/>
          <w:bCs/>
          <w:color w:val="C45911" w:themeColor="accent2" w:themeShade="bf"/>
          <w:sz w:val="24"/>
          <w:szCs w:val="24"/>
        </w:rPr>
        <w:t>HJ C.6.3. Učenik posjećuje kulturne događaje u fizičkome i virtualnome okružju.</w:t>
      </w:r>
    </w:p>
    <w:p>
      <w:pPr>
        <w:pStyle w:val="Normal"/>
        <w:rPr/>
      </w:pPr>
      <w:r>
        <w:rPr>
          <w:rFonts w:cs="Times New Roman" w:ascii="Times New Roman" w:hAnsi="Times New Roman"/>
          <w:sz w:val="20"/>
          <w:szCs w:val="20"/>
        </w:rPr>
        <w:t>Ishod se ne vrednuje, samo se prati.</w:t>
      </w:r>
      <w:r>
        <w:br w:type="page"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leGrid"/>
        <w:tblW w:w="1410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02"/>
        <w:gridCol w:w="4705"/>
        <w:gridCol w:w="4699"/>
      </w:tblGrid>
      <w:tr>
        <w:trPr>
          <w:trHeight w:val="395" w:hRule="atLeast"/>
        </w:trPr>
        <w:tc>
          <w:tcPr>
            <w:tcW w:w="14106" w:type="dxa"/>
            <w:gridSpan w:val="3"/>
            <w:tcBorders/>
            <w:shd w:color="auto" w:fill="ED7D31" w:themeFill="accent2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2"/>
                <w:lang w:eastAsia="hr-HR"/>
              </w:rPr>
              <w:t>OBLICI VREDNOVANJA</w:t>
            </w:r>
          </w:p>
        </w:tc>
      </w:tr>
      <w:tr>
        <w:trPr>
          <w:trHeight w:val="415" w:hRule="atLeast"/>
        </w:trPr>
        <w:tc>
          <w:tcPr>
            <w:tcW w:w="4702" w:type="dxa"/>
            <w:tcBorders/>
            <w:shd w:color="auto" w:fill="FBE4D5" w:themeFill="accent2" w:themeFillTint="3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2"/>
                <w:lang w:eastAsia="hr-HR"/>
              </w:rPr>
              <w:t>VREDNOVANJE ZA UČENJE</w:t>
            </w:r>
          </w:p>
        </w:tc>
        <w:tc>
          <w:tcPr>
            <w:tcW w:w="4705" w:type="dxa"/>
            <w:tcBorders/>
            <w:shd w:color="auto" w:fill="FBE4D5" w:themeFill="accent2" w:themeFillTint="3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2"/>
                <w:lang w:eastAsia="hr-HR"/>
              </w:rPr>
              <w:t>VREDNOVANJE KAO UČENJE</w:t>
            </w:r>
          </w:p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2"/>
                <w:lang w:eastAsia="hr-HR"/>
              </w:rPr>
              <w:t>(vršnjačko vrednovanje i samovrednovanje)</w:t>
            </w:r>
          </w:p>
        </w:tc>
        <w:tc>
          <w:tcPr>
            <w:tcW w:w="4699" w:type="dxa"/>
            <w:tcBorders/>
            <w:shd w:color="auto" w:fill="FBE4D5" w:themeFill="accent2" w:themeFillTint="33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2"/>
                <w:lang w:eastAsia="hr-HR"/>
              </w:rPr>
              <w:t>VREDNOVANJE NAUČENOGA</w:t>
            </w:r>
          </w:p>
        </w:tc>
      </w:tr>
      <w:tr>
        <w:trPr>
          <w:trHeight w:val="408" w:hRule="atLeast"/>
        </w:trPr>
        <w:tc>
          <w:tcPr>
            <w:tcW w:w="4702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argumentirane rasprave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promatranje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rješavanje problema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posteri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pitanja radi provjere razumijevanja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domaće zadaće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kratke pisane provjere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izlazne kartice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grafički organizatori znanja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razmjena informacija o učenju i rezultatima učenja</w:t>
            </w:r>
          </w:p>
        </w:tc>
        <w:tc>
          <w:tcPr>
            <w:tcW w:w="4705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trominutna stanka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(samo)procjena uradaka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lista za procjenu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rubrike</w:t>
            </w:r>
          </w:p>
        </w:tc>
        <w:tc>
          <w:tcPr>
            <w:tcW w:w="469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pisane provjere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usmeno ispitivanje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analiza mape radova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opažanje izvedbe učenika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procjena rasprave u kojoj sudjeluje učenik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analiza učeničkih radova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orient="landscape" w:w="16838" w:h="11906"/>
      <w:pgMar w:left="1361" w:right="1361" w:header="0" w:top="1361" w:footer="0" w:bottom="136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Cs w:val="22"/>
        <w:lang w:val="hr-HR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9b6742"/>
    <w:pPr>
      <w:widowControl/>
      <w:bidi w:val="0"/>
      <w:jc w:val="left"/>
    </w:pPr>
    <w:rPr>
      <w:rFonts w:ascii="Calibri" w:hAnsi="Calibri" w:eastAsia="Calibri" w:cs="" w:asciiTheme="minorHAnsi" w:hAnsiTheme="minorHAnsi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0e58c9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196c2d"/>
    <w:rPr>
      <w:sz w:val="16"/>
      <w:szCs w:val="16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qFormat/>
    <w:rsid w:val="00196c2d"/>
    <w:rPr>
      <w:rFonts w:ascii="Calibri" w:hAnsi="Calibri" w:asciiTheme="minorHAnsi" w:hAnsiTheme="minorHAnsi"/>
      <w:sz w:val="20"/>
      <w:szCs w:val="2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qFormat/>
    <w:rsid w:val="00196c2d"/>
    <w:rPr>
      <w:rFonts w:ascii="Calibri" w:hAnsi="Calibri" w:asciiTheme="minorHAnsi" w:hAnsiTheme="minorHAnsi"/>
      <w:b/>
      <w:bCs/>
      <w:sz w:val="20"/>
      <w:szCs w:val="20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ascii="Times New Roman" w:hAnsi="Times New Roman" w:cs="Symbol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Wingdings"/>
    </w:rPr>
  </w:style>
  <w:style w:type="character" w:styleId="ListLabel10">
    <w:name w:val="ListLabel 10"/>
    <w:qFormat/>
    <w:rPr>
      <w:rFonts w:cs="Symbol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Wingdings"/>
    </w:rPr>
  </w:style>
  <w:style w:type="character" w:styleId="ListLabel13">
    <w:name w:val="ListLabel 13"/>
    <w:qFormat/>
    <w:rPr>
      <w:rFonts w:cs="Symbol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Wingdings"/>
    </w:rPr>
  </w:style>
  <w:style w:type="character" w:styleId="ListLabel16">
    <w:name w:val="ListLabel 16"/>
    <w:qFormat/>
    <w:rPr>
      <w:rFonts w:ascii="Times New Roman" w:hAnsi="Times New Roman" w:cs="Symbol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Wingdings"/>
    </w:rPr>
  </w:style>
  <w:style w:type="character" w:styleId="ListLabel19">
    <w:name w:val="ListLabel 19"/>
    <w:qFormat/>
    <w:rPr>
      <w:rFonts w:cs="Symbol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Wingdings"/>
    </w:rPr>
  </w:style>
  <w:style w:type="character" w:styleId="ListLabel22">
    <w:name w:val="ListLabel 22"/>
    <w:qFormat/>
    <w:rPr>
      <w:rFonts w:cs="Symbol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Wingdings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9b6742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58c9"/>
    <w:pPr/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CommentTextChar"/>
    <w:uiPriority w:val="99"/>
    <w:semiHidden/>
    <w:unhideWhenUsed/>
    <w:qFormat/>
    <w:rsid w:val="00196c2d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CommentSubjectChar"/>
    <w:uiPriority w:val="99"/>
    <w:semiHidden/>
    <w:unhideWhenUsed/>
    <w:qFormat/>
    <w:rsid w:val="00196c2d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9b6742"/>
    <w:rPr>
      <w:lang w:eastAsia="hr-HR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LibreOffice/6.2.5.2$Windows_X86_64 LibreOffice_project/1ec314fa52f458adc18c4f025c545a4e8b22c159</Application>
  <Pages>11</Pages>
  <Words>3864</Words>
  <Characters>26486</Characters>
  <CharactersWithSpaces>30298</CharactersWithSpaces>
  <Paragraphs>333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2020-09-01T13:08:00Z</dcterms:created>
  <dc:creator>Martina Valec Rebić</dc:creator>
  <dc:description/>
  <dc:language>hr-HR</dc:language>
  <cp:lastModifiedBy/>
  <dcterms:modified xsi:type="dcterms:W3CDTF">2026-09-24T12:40:03Z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