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49" w:rsidRDefault="00BF634B">
      <w:pPr>
        <w:rPr>
          <w:rFonts w:ascii="Lucida Sans Unicode" w:hAnsi="Lucida Sans Unicode" w:cs="Lucida Sans Unicode"/>
          <w:b/>
          <w:sz w:val="24"/>
          <w:szCs w:val="24"/>
        </w:rPr>
      </w:pPr>
      <w:bookmarkStart w:id="0" w:name="_GoBack"/>
      <w:bookmarkEnd w:id="0"/>
      <w:r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hr-HR"/>
        </w:rPr>
        <w:t xml:space="preserve">                                                 </w:t>
      </w:r>
    </w:p>
    <w:p w:rsidR="00905049" w:rsidRDefault="00905049">
      <w:pPr>
        <w:rPr>
          <w:rFonts w:ascii="Lucida Sans Unicode" w:hAnsi="Lucida Sans Unicode" w:cs="Lucida Sans Unicode"/>
          <w:b/>
          <w:sz w:val="24"/>
          <w:szCs w:val="24"/>
        </w:rPr>
      </w:pPr>
    </w:p>
    <w:p w:rsidR="00905049" w:rsidRDefault="00BF634B">
      <w:pPr>
        <w:rPr>
          <w:rFonts w:ascii="Lucida Sans Unicode" w:hAnsi="Lucida Sans Unicode" w:cs="Lucida Sans Unicode"/>
          <w:b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 xml:space="preserve">                                                      </w:t>
      </w:r>
      <w:r>
        <w:rPr>
          <w:rFonts w:ascii="Lucida Sans Unicode" w:hAnsi="Lucida Sans Unicode" w:cs="Lucida Sans Unicode"/>
          <w:b/>
          <w:sz w:val="24"/>
          <w:szCs w:val="24"/>
        </w:rPr>
        <w:t>KRITERIJI OCJENJIVANJA U NASTAVI LIKOVNE KULTURE                                                                                                                                               VREDNOVANJE USVOJENOSTI ODGOJNO-OBRAZOVNIH ISHODA – LIKOVNA KULTU</w:t>
      </w:r>
      <w:r>
        <w:rPr>
          <w:rFonts w:ascii="Lucida Sans Unicode" w:hAnsi="Lucida Sans Unicode" w:cs="Lucida Sans Unicode"/>
          <w:b/>
          <w:sz w:val="24"/>
          <w:szCs w:val="24"/>
        </w:rPr>
        <w:t xml:space="preserve">RA </w:t>
      </w:r>
    </w:p>
    <w:p w:rsidR="00905049" w:rsidRDefault="00905049">
      <w:pPr>
        <w:rPr>
          <w:rFonts w:ascii="Lucida Sans Unicode" w:hAnsi="Lucida Sans Unicode" w:cs="Lucida Sans Unicode"/>
          <w:b/>
          <w:sz w:val="24"/>
          <w:szCs w:val="24"/>
        </w:rPr>
      </w:pPr>
    </w:p>
    <w:p w:rsidR="00905049" w:rsidRDefault="00905049">
      <w:pPr>
        <w:rPr>
          <w:rFonts w:ascii="Lucida Sans Unicode" w:hAnsi="Lucida Sans Unicode" w:cs="Lucida Sans Unicode"/>
          <w:b/>
          <w:sz w:val="24"/>
          <w:szCs w:val="24"/>
        </w:rPr>
      </w:pPr>
    </w:p>
    <w:p w:rsidR="00905049" w:rsidRDefault="00905049">
      <w:pPr>
        <w:rPr>
          <w:rFonts w:ascii="Lucida Sans Unicode" w:hAnsi="Lucida Sans Unicode" w:cs="Lucida Sans Unicode"/>
          <w:b/>
          <w:sz w:val="24"/>
          <w:szCs w:val="24"/>
        </w:rPr>
      </w:pPr>
    </w:p>
    <w:tbl>
      <w:tblPr>
        <w:tblW w:w="13317" w:type="dxa"/>
        <w:jc w:val="center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370"/>
        <w:gridCol w:w="6947"/>
      </w:tblGrid>
      <w:tr w:rsidR="00905049">
        <w:trPr>
          <w:trHeight w:val="3813"/>
          <w:jc w:val="center"/>
        </w:trPr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5049" w:rsidRDefault="00BF634B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8"/>
                <w:lang w:eastAsia="hr-HR"/>
              </w:rPr>
              <w:t>Vrednovanje za učenje</w:t>
            </w:r>
          </w:p>
          <w:p w:rsidR="00905049" w:rsidRDefault="00905049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05049" w:rsidRDefault="00BF634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promatranje, opisivanje, razlučivanje različitih mogućnosti likovnog izražavanja određenom likovnom tehnikom (crtanje, slikanje, grafika, 3D oblikovanje)</w:t>
            </w:r>
          </w:p>
          <w:p w:rsidR="00905049" w:rsidRDefault="00BF634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PP prezentacija, izrada i usporedba skica/likovnog uratka</w:t>
            </w:r>
          </w:p>
          <w:p w:rsidR="00905049" w:rsidRDefault="00BF634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refleksivna pi</w:t>
            </w:r>
            <w:r>
              <w:rPr>
                <w:rFonts w:eastAsia="Times New Roman" w:cs="Calibri"/>
                <w:lang w:eastAsia="hr-HR"/>
              </w:rPr>
              <w:t>tanja za vrijeme procesa rada, konstruktivni razgovor</w:t>
            </w:r>
          </w:p>
          <w:p w:rsidR="00905049" w:rsidRDefault="00BF634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argumentirana rasprava</w:t>
            </w:r>
          </w:p>
          <w:p w:rsidR="00905049" w:rsidRDefault="00BF634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povratne informacije</w:t>
            </w:r>
          </w:p>
          <w:p w:rsidR="00905049" w:rsidRDefault="00BF634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igra</w:t>
            </w:r>
          </w:p>
          <w:p w:rsidR="00905049" w:rsidRDefault="00905049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5049" w:rsidRDefault="00BF634B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8"/>
                <w:lang w:eastAsia="hr-HR"/>
              </w:rPr>
              <w:t>Vrednovanje kao učenje</w:t>
            </w:r>
          </w:p>
          <w:p w:rsidR="00905049" w:rsidRDefault="00905049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05049" w:rsidRDefault="00BF63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refleksija/samo refleksija</w:t>
            </w:r>
          </w:p>
          <w:p w:rsidR="00905049" w:rsidRDefault="00BF63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vršnjačko vrednovanje /</w:t>
            </w:r>
            <w:proofErr w:type="spellStart"/>
            <w:r>
              <w:rPr>
                <w:rFonts w:eastAsia="Times New Roman" w:cs="Calibri"/>
                <w:lang w:eastAsia="hr-HR"/>
              </w:rPr>
              <w:t>samovrednovanje</w:t>
            </w:r>
            <w:proofErr w:type="spellEnd"/>
          </w:p>
          <w:p w:rsidR="00905049" w:rsidRDefault="00BF63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izlazni listići</w:t>
            </w:r>
          </w:p>
          <w:p w:rsidR="00905049" w:rsidRDefault="00BF63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 xml:space="preserve">analiza likovnog problema, upotreba likovnog </w:t>
            </w:r>
            <w:r>
              <w:rPr>
                <w:rFonts w:eastAsia="Times New Roman" w:cs="Calibri"/>
                <w:color w:val="000000"/>
                <w:lang w:eastAsia="hr-HR"/>
              </w:rPr>
              <w:t>materijala u samom procesu rada</w:t>
            </w:r>
          </w:p>
          <w:p w:rsidR="00905049" w:rsidRDefault="00BF63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lista za procjenu /samo procjenu/ vršnjačko vrednovanje</w:t>
            </w:r>
          </w:p>
          <w:p w:rsidR="00905049" w:rsidRDefault="00BF63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procjena za vrednovanje rada skupine</w:t>
            </w:r>
          </w:p>
        </w:tc>
      </w:tr>
    </w:tbl>
    <w:p w:rsidR="00905049" w:rsidRDefault="00905049">
      <w:pPr>
        <w:pStyle w:val="Tijeloteksta"/>
      </w:pPr>
    </w:p>
    <w:p w:rsidR="00905049" w:rsidRDefault="00905049">
      <w:pPr>
        <w:pStyle w:val="Tijeloteksta"/>
      </w:pPr>
    </w:p>
    <w:p w:rsidR="00905049" w:rsidRDefault="00905049">
      <w:pPr>
        <w:pStyle w:val="Tijeloteksta"/>
      </w:pPr>
    </w:p>
    <w:p w:rsidR="00905049" w:rsidRDefault="00905049">
      <w:pPr>
        <w:pStyle w:val="Tijeloteksta"/>
      </w:pPr>
    </w:p>
    <w:p w:rsidR="00905049" w:rsidRDefault="00905049">
      <w:pPr>
        <w:pStyle w:val="Tijeloteksta"/>
      </w:pPr>
    </w:p>
    <w:p w:rsidR="00905049" w:rsidRDefault="00905049">
      <w:pPr>
        <w:pStyle w:val="Tijeloteksta"/>
      </w:pPr>
    </w:p>
    <w:tbl>
      <w:tblPr>
        <w:tblStyle w:val="Reetkatablice"/>
        <w:tblpPr w:leftFromText="180" w:rightFromText="180" w:vertAnchor="text" w:horzAnchor="margin" w:tblpXSpec="center" w:tblpY="-479"/>
        <w:tblW w:w="14761" w:type="dxa"/>
        <w:jc w:val="center"/>
        <w:tblLayout w:type="fixed"/>
        <w:tblLook w:val="04A0" w:firstRow="1" w:lastRow="0" w:firstColumn="1" w:lastColumn="0" w:noHBand="0" w:noVBand="1"/>
      </w:tblPr>
      <w:tblGrid>
        <w:gridCol w:w="1315"/>
        <w:gridCol w:w="3507"/>
        <w:gridCol w:w="3361"/>
        <w:gridCol w:w="3233"/>
        <w:gridCol w:w="3345"/>
      </w:tblGrid>
      <w:tr w:rsidR="00905049">
        <w:trPr>
          <w:trHeight w:val="263"/>
          <w:jc w:val="center"/>
        </w:trPr>
        <w:tc>
          <w:tcPr>
            <w:tcW w:w="14761" w:type="dxa"/>
            <w:gridSpan w:val="5"/>
          </w:tcPr>
          <w:p w:rsidR="00905049" w:rsidRDefault="00BF634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</w:rPr>
            </w:pPr>
            <w:r>
              <w:rPr>
                <w:rFonts w:eastAsia="Calibri" w:cs="Arial"/>
                <w:b/>
                <w:bCs/>
                <w:color w:val="FF0000"/>
                <w:sz w:val="28"/>
              </w:rPr>
              <w:t>Vrednovanje naučenog</w:t>
            </w:r>
          </w:p>
        </w:tc>
      </w:tr>
      <w:tr w:rsidR="00905049">
        <w:trPr>
          <w:trHeight w:val="263"/>
          <w:jc w:val="center"/>
        </w:trPr>
        <w:tc>
          <w:tcPr>
            <w:tcW w:w="1315" w:type="dxa"/>
          </w:tcPr>
          <w:p w:rsidR="00905049" w:rsidRDefault="00905049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507" w:type="dxa"/>
          </w:tcPr>
          <w:p w:rsidR="00905049" w:rsidRDefault="00BF634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odličan 5</w:t>
            </w:r>
          </w:p>
        </w:tc>
        <w:tc>
          <w:tcPr>
            <w:tcW w:w="3361" w:type="dxa"/>
          </w:tcPr>
          <w:p w:rsidR="00905049" w:rsidRDefault="00BF634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vrlo dobar 4</w:t>
            </w:r>
          </w:p>
        </w:tc>
        <w:tc>
          <w:tcPr>
            <w:tcW w:w="3233" w:type="dxa"/>
          </w:tcPr>
          <w:p w:rsidR="00905049" w:rsidRDefault="00BF634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dobar 3</w:t>
            </w:r>
          </w:p>
        </w:tc>
        <w:tc>
          <w:tcPr>
            <w:tcW w:w="3345" w:type="dxa"/>
          </w:tcPr>
          <w:p w:rsidR="00905049" w:rsidRDefault="00BF634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dovoljan 2</w:t>
            </w:r>
          </w:p>
        </w:tc>
      </w:tr>
      <w:tr w:rsidR="00905049">
        <w:trPr>
          <w:cantSplit/>
          <w:trHeight w:val="3114"/>
          <w:jc w:val="center"/>
        </w:trPr>
        <w:tc>
          <w:tcPr>
            <w:tcW w:w="1315" w:type="dxa"/>
            <w:textDirection w:val="btLr"/>
            <w:vAlign w:val="center"/>
          </w:tcPr>
          <w:p w:rsidR="00905049" w:rsidRDefault="00BF634B">
            <w:pPr>
              <w:widowControl w:val="0"/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STVARALAŠTVO</w:t>
            </w:r>
          </w:p>
        </w:tc>
        <w:tc>
          <w:tcPr>
            <w:tcW w:w="3507" w:type="dxa"/>
          </w:tcPr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-stvara ideje, više njih (skice, bilješke…) </w:t>
            </w:r>
            <w:r>
              <w:rPr>
                <w:rFonts w:eastAsia="Calibri" w:cstheme="minorHAnsi"/>
                <w:sz w:val="18"/>
                <w:szCs w:val="18"/>
              </w:rPr>
              <w:t>na iznimno originalan i inventivan način, te ih precizno prenosi na svoj likovni uradak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-ideja likovnog uratka je iznimno razumljiva i jasna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-izbjegava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šablonizaciju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i uobičajene stereotipne prikaze motiva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-naslikana/nacrtana/modelirana/otisnuta emocija li</w:t>
            </w:r>
            <w:r>
              <w:rPr>
                <w:rFonts w:eastAsia="Calibri" w:cstheme="minorHAnsi"/>
                <w:sz w:val="18"/>
                <w:szCs w:val="18"/>
              </w:rPr>
              <w:t>kovnog uratka je iznimno lako vidljiva i prepoznatljiva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-unaprijed predviđa slijed aktivnosti pri izvedbi svog likovnog rješenja i likovnog uratka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-likovni rad je ostvaren nacrtan/naslikan/modeliran/otisnut na vrlo originalan, neuobičajen i neočekivan nači</w:t>
            </w:r>
            <w:r>
              <w:rPr>
                <w:rFonts w:eastAsia="Calibri" w:cstheme="minorHAnsi"/>
                <w:sz w:val="18"/>
                <w:szCs w:val="18"/>
              </w:rPr>
              <w:t>n, odiše različitošću</w:t>
            </w:r>
          </w:p>
          <w:p w:rsidR="00905049" w:rsidRDefault="00BF634B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likovni rad sadrži elemente crteža/slike/grafike/ skulpture kojih nema u drugim likovnim radovima.</w:t>
            </w:r>
          </w:p>
        </w:tc>
        <w:tc>
          <w:tcPr>
            <w:tcW w:w="3361" w:type="dxa"/>
          </w:tcPr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-stvara ideje i više njih (skice, bilješke…) te ih dosta precizno prenosi na svoj likovni uradak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-ideja likovnog uratka je razumljiva</w:t>
            </w:r>
            <w:r>
              <w:rPr>
                <w:rFonts w:eastAsia="Calibri" w:cstheme="minorHAnsi"/>
                <w:sz w:val="18"/>
                <w:szCs w:val="18"/>
              </w:rPr>
              <w:t xml:space="preserve"> i jasna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-izbjegava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šablonizaciju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i uobičajene stereotipne prikaze motiva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-naslikana/nacrtana/modelirana/otisnuta emocija likovnog uratka je lako vidljiva i prepoznatljiva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-često predviđa slijed aktivnosti pri izvedbi svog likovnog rješenja i likovnog urat</w:t>
            </w:r>
            <w:r>
              <w:rPr>
                <w:rFonts w:eastAsia="Calibri" w:cstheme="minorHAnsi"/>
                <w:sz w:val="18"/>
                <w:szCs w:val="18"/>
              </w:rPr>
              <w:t>ka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-likovni rad je ostvaren nacrtan/naslikan/modeliran/otisnut na vrlo dosjetljiv  način.</w:t>
            </w:r>
          </w:p>
          <w:p w:rsidR="00905049" w:rsidRDefault="00BF634B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cstheme="minorHAnsi"/>
                <w:sz w:val="18"/>
                <w:szCs w:val="18"/>
              </w:rPr>
              <w:t>- likovni rad sadrži elemente crteža/slike/grafike/ skulpture kojih nema često u drugim likovnim radovima.</w:t>
            </w:r>
          </w:p>
        </w:tc>
        <w:tc>
          <w:tcPr>
            <w:tcW w:w="3233" w:type="dxa"/>
          </w:tcPr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-djelomično, površno stvara ideju, rijetko više njih </w:t>
            </w:r>
            <w:r>
              <w:rPr>
                <w:rFonts w:eastAsia="Calibri" w:cstheme="minorHAnsi"/>
                <w:sz w:val="18"/>
                <w:szCs w:val="18"/>
              </w:rPr>
              <w:t>(skice, bilješke…) te ih dosta površno prenosi na svoj likovni uradak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-ideja likovnog uratka je djelomično razumljiva i jasna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-često koristi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šablonizaciju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i vrlo uobičajene stereotipne prikaze motiva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naslikana/nacrtana/modelirana/otisnuta emocija likovnog </w:t>
            </w:r>
            <w:r>
              <w:rPr>
                <w:rFonts w:eastAsia="Calibri" w:cstheme="minorHAnsi"/>
                <w:sz w:val="18"/>
                <w:szCs w:val="18"/>
              </w:rPr>
              <w:t>uratka je djelomično vidljiva i teže prepoznatljiva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-nema nekog slijeda aktivnosti pri izvedbi svog likovnog rješenja i  likovnog uratka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-likovni rad je djelomično ostvaren nacrtan/naslikan/modeliran/otisnut na uobičajen  način.</w:t>
            </w:r>
          </w:p>
          <w:p w:rsidR="00905049" w:rsidRDefault="00BF634B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cstheme="minorHAnsi"/>
                <w:sz w:val="18"/>
                <w:szCs w:val="18"/>
              </w:rPr>
              <w:t>- likovni rad sadrži elemen</w:t>
            </w:r>
            <w:r>
              <w:rPr>
                <w:rFonts w:cstheme="minorHAnsi"/>
                <w:sz w:val="18"/>
                <w:szCs w:val="18"/>
              </w:rPr>
              <w:t>te crteža/slike/grafike/ skulpture koji su često vidljivi na drugim likovnim radovima.</w:t>
            </w:r>
          </w:p>
        </w:tc>
        <w:tc>
          <w:tcPr>
            <w:tcW w:w="3345" w:type="dxa"/>
          </w:tcPr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-samo djelomično, vrlo površno stvara ideju (skicu, bilješku…) te ih površno prenosi na svoj likovni uradak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-ideja likovnog uratka je nerazumljiva i nejasna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-gotovo uvij</w:t>
            </w:r>
            <w:r>
              <w:rPr>
                <w:rFonts w:eastAsia="Calibri" w:cstheme="minorHAnsi"/>
                <w:sz w:val="18"/>
                <w:szCs w:val="18"/>
              </w:rPr>
              <w:t xml:space="preserve">ek  koristi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šablonizaciju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i uobičajene stereotipne prikaze motiva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-naslikana/nacrtana/modelirana/otisnuta emocija likovnog uratka je djelomično vidljiva i neprepoznatljiva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-nema slijeda aktivnosti pri izvedbi svog likovnog rješenja i likovnog uratka</w:t>
            </w:r>
          </w:p>
          <w:p w:rsidR="00905049" w:rsidRDefault="00BF634B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-likovni rad nije ostvaren nacrtan/naslikan/modeliran/otisnut na uobičajen  način.</w:t>
            </w:r>
          </w:p>
          <w:p w:rsidR="00905049" w:rsidRDefault="00BF634B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cstheme="minorHAnsi"/>
                <w:sz w:val="18"/>
                <w:szCs w:val="18"/>
              </w:rPr>
              <w:t>- likovni rad sadrži elemente crteža/slike/grafike/ skulpture koji su gotovo uvijek  vidljivi na drugim likovnim radovima.</w:t>
            </w:r>
          </w:p>
        </w:tc>
      </w:tr>
      <w:tr w:rsidR="00905049">
        <w:trPr>
          <w:cantSplit/>
          <w:trHeight w:val="3150"/>
          <w:jc w:val="center"/>
        </w:trPr>
        <w:tc>
          <w:tcPr>
            <w:tcW w:w="1315" w:type="dxa"/>
            <w:textDirection w:val="btLr"/>
            <w:vAlign w:val="center"/>
          </w:tcPr>
          <w:p w:rsidR="00905049" w:rsidRDefault="00BF634B">
            <w:pPr>
              <w:widowControl w:val="0"/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lastRenderedPageBreak/>
              <w:t>PRODUKTIVNOST</w:t>
            </w:r>
          </w:p>
        </w:tc>
        <w:tc>
          <w:tcPr>
            <w:tcW w:w="3507" w:type="dxa"/>
          </w:tcPr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-odličan način vladanja crtaćom/sli</w:t>
            </w:r>
            <w:r>
              <w:rPr>
                <w:rFonts w:eastAsia="Calibri" w:cs="Calibri"/>
                <w:sz w:val="18"/>
                <w:szCs w:val="18"/>
              </w:rPr>
              <w:t>karskom /grafičkom/kiparskom tehnikom, visoka estetska kvaliteta rada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-na originalan način koristi strip/čistoću boje/ritam na plohi/ konstruktivne elemente u arhitekturi.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-odlično istražuje i varira tehniku tuša i pera/ slikarsku tehniku tempera/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kolagraf</w:t>
            </w:r>
            <w:r>
              <w:rPr>
                <w:rFonts w:eastAsia="Calibri" w:cs="Calibri"/>
                <w:sz w:val="18"/>
                <w:szCs w:val="18"/>
              </w:rPr>
              <w:t>ije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i postupke te grafičke tehnike /istražuje papir plastiku, postupke njene uporabe, uočava I izražava njene osobitosti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-likovna tehnika crtanja/slikanja/ modeliranja/ otiskivanja korištena je iznimno precizno i uredno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-samoinicijativno, vrijedno i doslje</w:t>
            </w:r>
            <w:r>
              <w:rPr>
                <w:rFonts w:eastAsia="Calibri" w:cs="Calibri"/>
                <w:sz w:val="18"/>
                <w:szCs w:val="18"/>
              </w:rPr>
              <w:t>dno pristupa radu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-iz likovnog uratka je vidljivo da su u potpunosti usvojeni ključni pojmovi</w:t>
            </w:r>
          </w:p>
          <w:p w:rsidR="00905049" w:rsidRDefault="00905049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</w:p>
          <w:p w:rsidR="00905049" w:rsidRDefault="00905049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1" w:type="dxa"/>
          </w:tcPr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-vrlo dobar način vladanja crtaćom/slikarskom /grafičkom/kiparskom tehnikom,  visoka estetska kvaliteta rada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-na vrlo dobar, ali ne tako originalan način </w:t>
            </w:r>
            <w:r>
              <w:rPr>
                <w:rFonts w:eastAsia="Calibri" w:cs="Calibri"/>
                <w:sz w:val="18"/>
                <w:szCs w:val="18"/>
              </w:rPr>
              <w:t>koristi  strip/čistoću boje/ritam na plohi/ konstruktivne elemente u arhitekturi..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-vrlo dobro istražuje i tehniku tuša i pera/ slikarsku tehniku tempera/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kolagrafije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i postupke te grafičke tehnike /istražuje papir plastiku, postupke njene uporabe, uočava </w:t>
            </w:r>
            <w:r>
              <w:rPr>
                <w:rFonts w:eastAsia="Calibri" w:cs="Calibri"/>
                <w:sz w:val="18"/>
                <w:szCs w:val="18"/>
              </w:rPr>
              <w:t>i izražava njene osobitosti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-likovna tehnika crtanja/slikanja/ modeliranja/ otiskivanja korištena je precizno i uredno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-vrijedno i dosljedno pristupa radu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-iz likovnog uratka je vidljivo da su usvojeni ključni pojmovi</w:t>
            </w:r>
          </w:p>
          <w:p w:rsidR="00905049" w:rsidRDefault="00905049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</w:p>
          <w:p w:rsidR="00905049" w:rsidRDefault="00905049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233" w:type="dxa"/>
          </w:tcPr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-dobar način vladanja crtaćom/slikar</w:t>
            </w:r>
            <w:r>
              <w:rPr>
                <w:rFonts w:eastAsia="Calibri" w:cs="Calibri"/>
                <w:sz w:val="18"/>
                <w:szCs w:val="18"/>
              </w:rPr>
              <w:t>skom /grafičkom/kiparskom tehnikom, dobra, solidna estetska kvaliteta rada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-na uobičajen, prepoznatljiv način koristi 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>strip/čistoću boje/ritam na plohi/ konstruktivne elemente u arhitekturi.</w:t>
            </w:r>
          </w:p>
          <w:p w:rsidR="00905049" w:rsidRDefault="00905049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-istražuje i varira tehniku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tehniku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tuša i pera/ slikarsku teh</w:t>
            </w:r>
            <w:r>
              <w:rPr>
                <w:rFonts w:eastAsia="Calibri" w:cs="Calibri"/>
                <w:sz w:val="18"/>
                <w:szCs w:val="18"/>
              </w:rPr>
              <w:t xml:space="preserve">niku tempera/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kolagrafije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i postupke te grafičke tehnike /istražuje papir plastiku, postupke njene uporabe, uočava i izražava njene osobitosti  postupke njene uporabe, uočava i izražava njene osobitosti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-samo na stalni poticaj i nedosljedno pristupa radu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</w:t>
            </w:r>
            <w:r>
              <w:rPr>
                <w:rFonts w:eastAsia="Calibri" w:cs="Calibri"/>
                <w:sz w:val="18"/>
                <w:szCs w:val="18"/>
              </w:rPr>
              <w:t>iz likovnog uratka je vidljivo da su samo djelomično usvojeni ključni pojmovi</w:t>
            </w:r>
          </w:p>
          <w:p w:rsidR="00905049" w:rsidRDefault="00905049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</w:p>
          <w:p w:rsidR="00905049" w:rsidRDefault="00905049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</w:p>
        </w:tc>
        <w:tc>
          <w:tcPr>
            <w:tcW w:w="3345" w:type="dxa"/>
          </w:tcPr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-ne ovladava crtaćom/slikarskom /grafičkom/kiparskom tehnikom, nema estetske kvalitete rada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-na uobičajen, prepoznatljiv i vrlo čest način koristi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>strip/čistoću boje/ritam na p</w:t>
            </w:r>
            <w:r>
              <w:rPr>
                <w:rFonts w:eastAsia="Calibri" w:cs="Calibri"/>
                <w:sz w:val="18"/>
                <w:szCs w:val="18"/>
              </w:rPr>
              <w:t>lohi/ konstruktivne elemente u arhitekturi.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-ne istražuje i ne varira tehniku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tehniku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 xml:space="preserve">tuša i pera/ slikarsku tehniku tempera/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kolagrafije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i postupke te grafičke tehnike /istražuje papir plastiku, postupke njene uporabe, uočava i izražava njene osobitosti </w:t>
            </w:r>
            <w:r>
              <w:rPr>
                <w:rFonts w:eastAsia="Calibri" w:cs="Calibri"/>
                <w:sz w:val="18"/>
                <w:szCs w:val="18"/>
              </w:rPr>
              <w:t>postupke njene uporabe, uočava i izražava njene osobitosti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-likovna tehnika crtanja/slikanja/ modeliranja/ otiskivanja korištena je neprecizno i neuredno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-samo na stalni poticaj pristupa radu, ponekad nema realizacije rada</w:t>
            </w:r>
          </w:p>
          <w:p w:rsidR="00905049" w:rsidRDefault="00BF634B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-iz likovnog uratka je vidljivo d</w:t>
            </w:r>
            <w:r>
              <w:rPr>
                <w:rFonts w:eastAsia="Calibri" w:cs="Calibri"/>
                <w:sz w:val="18"/>
                <w:szCs w:val="18"/>
              </w:rPr>
              <w:t>a nisu  usvojeni ključni pojmovi</w:t>
            </w:r>
          </w:p>
          <w:p w:rsidR="00905049" w:rsidRDefault="00905049">
            <w:pPr>
              <w:widowControl w:val="0"/>
              <w:spacing w:after="0"/>
              <w:rPr>
                <w:rFonts w:cs="Calibri"/>
                <w:sz w:val="18"/>
                <w:szCs w:val="18"/>
              </w:rPr>
            </w:pPr>
          </w:p>
          <w:p w:rsidR="00905049" w:rsidRDefault="00905049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905049">
        <w:trPr>
          <w:cantSplit/>
          <w:trHeight w:val="2819"/>
          <w:jc w:val="center"/>
        </w:trPr>
        <w:tc>
          <w:tcPr>
            <w:tcW w:w="1315" w:type="dxa"/>
            <w:textDirection w:val="btLr"/>
            <w:vAlign w:val="center"/>
          </w:tcPr>
          <w:p w:rsidR="00905049" w:rsidRDefault="00BF634B">
            <w:pPr>
              <w:widowControl w:val="0"/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lastRenderedPageBreak/>
              <w:t>KRITIČKO MIŠLJENJE I KONTEKST</w:t>
            </w:r>
          </w:p>
        </w:tc>
        <w:tc>
          <w:tcPr>
            <w:tcW w:w="3507" w:type="dxa"/>
          </w:tcPr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-ima pozitivan stav prema likovnom izražavanju, učenju i predmetu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-odgovorno i savjesno se odnosi prema radu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-izvrsno opisuje proces nastanka likovnog rada, te predlaže svoje ideje za </w:t>
            </w:r>
            <w:r>
              <w:rPr>
                <w:rFonts w:eastAsia="Calibri" w:cs="Calibri"/>
                <w:sz w:val="18"/>
                <w:szCs w:val="18"/>
              </w:rPr>
              <w:t>realizaciju zadatka.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 izražava se bogatim likovnim jezikom, pokazuje visoku usvojenost likovnih elemenata i kritičke samosvijesti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-izvrsno uočava razinu uloženog truda i tehničke kvalitete rada, s lakoćom ukazuje na moguće nedostatke ili poboljšanja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-prepoznaje razinu osobnog zadovoljstva u stvaralačkom procesu</w:t>
            </w:r>
          </w:p>
          <w:p w:rsidR="00905049" w:rsidRDefault="00905049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1" w:type="dxa"/>
          </w:tcPr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-ima pozitivan stav prema likovnom izražavanju, učenju i predmetu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-odgovorno se odnosi prema radu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 opisuje proces nastanka likovnog rada, te ponekad iznosi svoje ideje za realizaciju zadatka.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 izražava se likovnim jezikom, pokazuje usvojenost likovnih elemenata i kritičke samosvijesti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-uočava razinu uloženog truda i tehničke kvalitete rada, ukazuje na moguće nedostatke ili poboljšanja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-prepoznaje razinu osobnog zadovoljstva u stvaralačkom </w:t>
            </w:r>
            <w:r>
              <w:rPr>
                <w:rFonts w:eastAsia="Calibri" w:cs="Calibri"/>
                <w:sz w:val="18"/>
                <w:szCs w:val="18"/>
              </w:rPr>
              <w:t>procesu</w:t>
            </w:r>
          </w:p>
          <w:p w:rsidR="00905049" w:rsidRDefault="00905049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Arial"/>
              </w:rPr>
            </w:pPr>
          </w:p>
        </w:tc>
        <w:tc>
          <w:tcPr>
            <w:tcW w:w="3233" w:type="dxa"/>
          </w:tcPr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-ima promjenljiv stav prema likovnom izražavanju, učenju i predmetu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-površno se odnosi prema radu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 polovično opisuje proces nastanka likovnog rada, ne iznosi svoje ideje za realizaciju zadatka.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 površno se izražava likovnim jezikom, pokazuje dje</w:t>
            </w:r>
            <w:r>
              <w:rPr>
                <w:rFonts w:eastAsia="Calibri" w:cs="Calibri"/>
                <w:sz w:val="18"/>
                <w:szCs w:val="18"/>
              </w:rPr>
              <w:t>lomičnu usvojenost likovnih elemenata i kritičke samosvijesti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-djelomično uočava razinu uloženog truda i tehničke kvalitete rada, ne ukazuje na moguće nedostatke ili poboljšanja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-površno prepoznaje razinu osobnog zadovoljstva u stvaralačkom procesu</w:t>
            </w:r>
          </w:p>
          <w:p w:rsidR="00905049" w:rsidRDefault="00905049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Arial"/>
              </w:rPr>
            </w:pPr>
          </w:p>
        </w:tc>
        <w:tc>
          <w:tcPr>
            <w:tcW w:w="3345" w:type="dxa"/>
          </w:tcPr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-ima p</w:t>
            </w:r>
            <w:r>
              <w:rPr>
                <w:rFonts w:eastAsia="Calibri" w:cs="Calibri"/>
                <w:sz w:val="18"/>
                <w:szCs w:val="18"/>
              </w:rPr>
              <w:t>romjenljiv stav prema likovnom izražavanju, učenju i predmetu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-površno se odnosi prema radu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 ne opisuje proces nastanka likovnog rada, ne iznosi svoje ideje za realizaciju zadatka.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 vrlo površno se izražava likovnim jezikom, ne pokazuje usvojenost likovn</w:t>
            </w:r>
            <w:r>
              <w:rPr>
                <w:rFonts w:eastAsia="Calibri" w:cs="Calibri"/>
                <w:sz w:val="18"/>
                <w:szCs w:val="18"/>
              </w:rPr>
              <w:t>ih elemenata i kritičke samosvijesti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-ne uočava razinu uloženog truda i tehničke kvalitete rada, ne ukazuje na moguće nedostatke ili poboljšanja</w:t>
            </w:r>
          </w:p>
          <w:p w:rsidR="00905049" w:rsidRDefault="00BF634B">
            <w:pPr>
              <w:widowControl w:val="0"/>
              <w:spacing w:after="20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-površno prepoznaje/ ne prepoznaje razinu osobnog zadovoljstva u stvaralačkom procesu</w:t>
            </w:r>
          </w:p>
          <w:p w:rsidR="00905049" w:rsidRDefault="00905049">
            <w:pPr>
              <w:widowControl w:val="0"/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</w:tbl>
    <w:p w:rsidR="00905049" w:rsidRDefault="00905049">
      <w:pPr>
        <w:rPr>
          <w:rFonts w:ascii="Lucida Sans Unicode" w:eastAsia="Times New Roman" w:hAnsi="Lucida Sans Unicode" w:cs="Lucida Sans Unicode"/>
          <w:bCs/>
          <w:lang w:eastAsia="hr-HR"/>
        </w:rPr>
      </w:pPr>
    </w:p>
    <w:p w:rsidR="00905049" w:rsidRDefault="00905049">
      <w:pPr>
        <w:pStyle w:val="Odlomakpopisa"/>
        <w:rPr>
          <w:rFonts w:ascii="Lucida Sans Unicode" w:eastAsia="Times New Roman" w:hAnsi="Lucida Sans Unicode" w:cs="Lucida Sans Unicode"/>
          <w:bCs/>
          <w:lang w:eastAsia="hr-HR"/>
        </w:rPr>
      </w:pPr>
    </w:p>
    <w:p w:rsidR="00905049" w:rsidRDefault="00905049">
      <w:pPr>
        <w:pStyle w:val="Odlomakpopisa"/>
        <w:rPr>
          <w:rFonts w:ascii="Lucida Sans Unicode" w:eastAsia="Times New Roman" w:hAnsi="Lucida Sans Unicode" w:cs="Lucida Sans Unicode"/>
          <w:bCs/>
          <w:lang w:eastAsia="hr-HR"/>
        </w:rPr>
      </w:pPr>
    </w:p>
    <w:p w:rsidR="00905049" w:rsidRDefault="00905049">
      <w:pPr>
        <w:pStyle w:val="Odlomakpopisa"/>
        <w:rPr>
          <w:rFonts w:ascii="Lucida Sans Unicode" w:eastAsia="Times New Roman" w:hAnsi="Lucida Sans Unicode" w:cs="Lucida Sans Unicode"/>
          <w:bCs/>
          <w:lang w:eastAsia="hr-HR"/>
        </w:rPr>
      </w:pPr>
    </w:p>
    <w:p w:rsidR="00905049" w:rsidRDefault="00905049">
      <w:pPr>
        <w:pStyle w:val="Odlomakpopisa"/>
        <w:rPr>
          <w:rFonts w:ascii="Lucida Sans Unicode" w:eastAsia="Times New Roman" w:hAnsi="Lucida Sans Unicode" w:cs="Lucida Sans Unicode"/>
          <w:bCs/>
          <w:lang w:eastAsia="hr-HR"/>
        </w:rPr>
      </w:pPr>
    </w:p>
    <w:p w:rsidR="00905049" w:rsidRDefault="00905049"/>
    <w:p w:rsidR="00905049" w:rsidRDefault="00905049"/>
    <w:p w:rsidR="00905049" w:rsidRDefault="00905049"/>
    <w:p w:rsidR="00905049" w:rsidRDefault="00905049"/>
    <w:p w:rsidR="00905049" w:rsidRDefault="00905049"/>
    <w:p w:rsidR="00905049" w:rsidRDefault="00905049"/>
    <w:p w:rsidR="00905049" w:rsidRDefault="00905049">
      <w:pPr>
        <w:rPr>
          <w:rFonts w:ascii="Lucida Sans Unicode" w:hAnsi="Lucida Sans Unicode" w:cs="Lucida Sans Unicode"/>
        </w:rPr>
      </w:pPr>
    </w:p>
    <w:p w:rsidR="00905049" w:rsidRDefault="00905049">
      <w:pPr>
        <w:rPr>
          <w:rFonts w:ascii="Lucida Sans Unicode" w:hAnsi="Lucida Sans Unicode" w:cs="Lucida Sans Unicode"/>
        </w:rPr>
      </w:pPr>
    </w:p>
    <w:sectPr w:rsidR="00905049">
      <w:footerReference w:type="default" r:id="rId8"/>
      <w:pgSz w:w="16838" w:h="11906" w:orient="landscape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34B" w:rsidRDefault="00BF634B">
      <w:pPr>
        <w:spacing w:after="0" w:line="240" w:lineRule="auto"/>
      </w:pPr>
      <w:r>
        <w:separator/>
      </w:r>
    </w:p>
  </w:endnote>
  <w:endnote w:type="continuationSeparator" w:id="0">
    <w:p w:rsidR="00BF634B" w:rsidRDefault="00BF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49" w:rsidRDefault="00905049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34B" w:rsidRDefault="00BF634B">
      <w:pPr>
        <w:spacing w:after="0" w:line="240" w:lineRule="auto"/>
      </w:pPr>
      <w:r>
        <w:separator/>
      </w:r>
    </w:p>
  </w:footnote>
  <w:footnote w:type="continuationSeparator" w:id="0">
    <w:p w:rsidR="00BF634B" w:rsidRDefault="00BF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0DD"/>
    <w:multiLevelType w:val="multilevel"/>
    <w:tmpl w:val="0344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0AAB0086"/>
    <w:multiLevelType w:val="multilevel"/>
    <w:tmpl w:val="8F5E7A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DC22CD"/>
    <w:multiLevelType w:val="multilevel"/>
    <w:tmpl w:val="8614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049"/>
    <w:rsid w:val="00905049"/>
    <w:rsid w:val="00AB2A49"/>
    <w:rsid w:val="00B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9824B-3D6C-40B1-AD32-31B85D4F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DD4"/>
    <w:pPr>
      <w:spacing w:after="160"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semiHidden/>
    <w:qFormat/>
    <w:rsid w:val="00D618C8"/>
  </w:style>
  <w:style w:type="character" w:customStyle="1" w:styleId="PodnojeChar">
    <w:name w:val="Podnožje Char"/>
    <w:basedOn w:val="Zadanifontodlomka"/>
    <w:link w:val="Podnoje"/>
    <w:uiPriority w:val="99"/>
    <w:semiHidden/>
    <w:qFormat/>
    <w:rsid w:val="00D618C8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D618C8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2400A4"/>
    <w:pPr>
      <w:ind w:left="720"/>
      <w:contextualSpacing/>
    </w:p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semiHidden/>
    <w:unhideWhenUsed/>
    <w:rsid w:val="00D618C8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unhideWhenUsed/>
    <w:rsid w:val="00D618C8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D618C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1D560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8ED16-A171-4D07-A5E7-C47252AB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Budiselić Gržan</dc:creator>
  <dc:description/>
  <cp:lastModifiedBy>Korisnik</cp:lastModifiedBy>
  <cp:revision>2</cp:revision>
  <dcterms:created xsi:type="dcterms:W3CDTF">2026-09-08T07:26:00Z</dcterms:created>
  <dcterms:modified xsi:type="dcterms:W3CDTF">2026-09-08T07:26:00Z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