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16afd401aed24a4b" /></Relationships>
</file>

<file path=word/document.xml><?xml version="1.0" encoding="utf-8"?>
<w:document xmlns:w="http://schemas.openxmlformats.org/wordprocessingml/2006/main">
  <w:body>
    <w:tbl>
      <w:tblPr>
        <w:tblW w:w="9000" w:type="dxa"/>
        <w:tblBorders>
          <w:top w:val="nil"/>
          <w:bottom w:val="nil"/>
          <w:left w:val="nil"/>
          <w:right w:val="nil"/>
          <w:insideH w:val="nil"/>
          <w:insideV w:val="nil"/>
        </w:tblBorders>
        <w:tblCellSpacing w:w="60" w:type="dxa"/>
        <w:shd w:val="clear" w:color="auto" w:fill="E7F0F9"/>
      </w:tblPr>
      <w:tblGrid>
        <w:gridCol w:w="1200"/>
        <w:gridCol w:w="4500"/>
      </w:tblGrid>
      <w:tr>
        <w:tc>
          <w:tcPr>
            <w:tcW w:w="1200" w:type="pct"/>
            <w:shd w:val="clear" w:color="auto" w:fill="E7F0F9"/>
          </w:tcPr>
          <w:p>
            <w:pPr>
              <w:spacing w:before="0" w:after="0" w:line="240" w:lineRule="auto"/>
              <w:jc w:val="left"/>
            </w:pPr>
            <w:r>
              <w:rPr>
                <w:b/>
              </w:rPr>
              <w:t xml:space="preserve">RKP broj</w:t>
            </w:r>
          </w:p>
        </w:tc>
        <w:tc>
          <w:tcPr>
            <w:shd w:val="clear" w:color="auto" w:fill="E7F0F9"/>
          </w:tcPr>
          <w:p>
            <w:pPr>
              <w:spacing w:before="0" w:after="0" w:line="240" w:lineRule="auto"/>
              <w:jc w:val="left"/>
            </w:pPr>
            <w:r>
              <w:t xml:space="preserve">10707</w:t>
            </w:r>
          </w:p>
        </w:tc>
      </w:tr>
      <w:tr>
        <w:tc>
          <w:tcPr>
            <w:tcW w:w="1200" w:type="pct"/>
            <w:shd w:val="clear" w:color="auto" w:fill="E7F0F9"/>
          </w:tcPr>
          <w:p>
            <w:pPr>
              <w:spacing w:before="0" w:after="0" w:line="240" w:lineRule="auto"/>
              <w:jc w:val="left"/>
            </w:pPr>
            <w:r>
              <w:rPr>
                <w:b/>
              </w:rPr>
              <w:t xml:space="preserve">Naziv obveznika</w:t>
            </w:r>
          </w:p>
        </w:tc>
        <w:tc>
          <w:tcPr>
            <w:shd w:val="clear" w:color="auto" w:fill="E7F0F9"/>
          </w:tcPr>
          <w:p>
            <w:pPr>
              <w:spacing w:before="0" w:after="0" w:line="240" w:lineRule="auto"/>
              <w:jc w:val="left"/>
            </w:pPr>
            <w:r>
              <w:t xml:space="preserve">OSNOVNA ŠKOLA PLAŠKI</w:t>
            </w:r>
          </w:p>
        </w:tc>
      </w:tr>
      <w:tr>
        <w:tc>
          <w:tcPr>
            <w:tcW w:w="1200" w:type="pct"/>
            <w:shd w:val="clear" w:color="auto" w:fill="E7F0F9"/>
          </w:tcPr>
          <w:p>
            <w:pPr>
              <w:spacing w:before="0" w:after="0" w:line="240" w:lineRule="auto"/>
              <w:jc w:val="left"/>
            </w:pPr>
            <w:r>
              <w:rPr>
                <w:b/>
              </w:rPr>
              <w:t xml:space="preserve">Razina</w:t>
            </w:r>
          </w:p>
        </w:tc>
        <w:tc>
          <w:tcPr>
            <w:shd w:val="clear" w:color="auto" w:fill="E7F0F9"/>
          </w:tcPr>
          <w:p>
            <w:pPr>
              <w:spacing w:before="0" w:after="0" w:line="240" w:lineRule="auto"/>
              <w:jc w:val="left"/>
            </w:pPr>
            <w:r>
              <w:t xml:space="preserve">31</w:t>
            </w:r>
          </w:p>
        </w:tc>
      </w:tr>
    </w:tbl>
    <w:p>
      <w:r>
        <w:br/>
      </w:r>
    </w:p>
    <w:p>
      <w:pPr>
        <w:jc w:val="center"/>
        <w:pStyle w:val="Normal"/>
        <w:spacing w:line="240" w:lineRule="auto"/>
      </w:pPr>
      <w:r>
        <w:rPr>
          <w:b/>
          <w:sz w:val="28"/>
          <w:rFonts w:ascii="Times New Roman" w:hAnsi="Times New Roman"/>
        </w:rPr>
        <w:t xml:space="preserve">BILJEŠKE UZ FINANCIJSKE IZVJEŠTAJE</w:t>
      </w:r>
    </w:p>
    <w:p>
      <w:pPr>
        <w:jc w:val="center"/>
        <w:pStyle w:val="Normal"/>
        <w:spacing w:line="240" w:lineRule="auto"/>
      </w:pPr>
      <w:r>
        <w:rPr>
          <w:b/>
          <w:sz w:val="28"/>
          <w:rFonts w:ascii="Times New Roman" w:hAnsi="Times New Roman"/>
        </w:rPr>
        <w:t xml:space="preserve">ZA RAZDOBLJE</w:t>
      </w:r>
    </w:p>
    <w:p>
      <w:pPr>
        <w:jc w:val="center"/>
        <w:pStyle w:val="Normal"/>
        <w:spacing w:line="240" w:lineRule="auto"/>
      </w:pPr>
      <w:r>
        <w:rPr>
          <w:b/>
          <w:sz w:val="28"/>
          <w:rFonts w:ascii="Times New Roman" w:hAnsi="Times New Roman"/>
        </w:rPr>
        <w:t xml:space="preserve">I - XII 2025.</w:t>
      </w:r>
    </w:p>
    <w:p/>
    <w:p>
      <w:pPr>
        <w:jc w:val="center"/>
        <w:pStyle w:val="Normal"/>
        <w:spacing w:line="240" w:lineRule="auto"/>
        <w:keepNext/>
      </w:pPr>
      <w:r>
        <w:rPr>
          <w:b/>
          <w:sz w:val="28"/>
          <w:rFonts w:ascii="Times New Roman" w:hAnsi="Times New Roman"/>
        </w:rPr>
        <w:t xml:space="preserve">Izvještaj o prihodima i rashodima, primicima i izdacima</w:t>
      </w:r>
    </w:p>
    <w:p>
      <w:pPr>
        <w:jc w:val="center"/>
        <w:pStyle w:val="Normal"/>
        <w:spacing w:line="240" w:lineRule="auto"/>
        <w:keepNext/>
      </w:pPr>
      <w:r>
        <w:rPr>
          <w:sz w:val="28"/>
          <w:rFonts w:ascii="Times New Roman" w:hAnsi="Times New Roman"/>
        </w:rPr>
        <w:t xml:space="preserve">Bilješka 1.</w:t>
      </w:r>
    </w:p>
    <w:tbl>
      <w:tblPr>
        <w:tblBorders>
          <w:top w:val="single" w:color="BABABA" w:sz="12"/>
          <w:bottom w:val="single" w:color="BABABA" w:sz="12"/>
          <w:left w:val="single" w:color="BABABA" w:sz="12"/>
          <w:right w:val="single" w:color="BABABA" w:sz="12"/>
          <w:insideH w:val="single" w:color="BABABA" w:sz="8"/>
          <w:insideV w:val="single" w:color="DADADA" w:sz="8"/>
        </w:tblBorders>
        <w:tblW w:w="0" w:type="auto"/>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PRIHODI POSLOVANJA (šifre 61+62+63+64+65+66+67+68)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1.568.860,39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1.276.330,14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81,4</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RASHODI POSLOVANJA (šifre 31+32+34+35+36+37+38)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1.155.396,57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1.310.750,70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113,4</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MANJAK PRIHODA POSLOVANJA (šifre Z005-6)</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Y001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34.420,56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7</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Prihodi od prodaje nefinancijske imovine (šifre 71+72+73+74)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15.200,00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Rashodi za nabavu nefinancijske imovine (šifre 41+42+43+44+45)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277.004,82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66.853,73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24,1</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MANJAK PRIHODA OD NEFINANCIJSKE IMOVINE (šifre 4-7)</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Y002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261.804,82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66.853,73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25,5</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Primici od financijske imovine i zaduživanja (šifre 81+82+83+84+85)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Izdaci za financijsku imovinu i otplate zajmova (šifre 51+52+53+54+55)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VIŠAK/MANJAK PRIMITAKA OD FINANCIJSKE IMOVINE I ZADUŽIVANJA (šifre 8-5, 5-8)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X003, Y003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MANJAK PRIHODA I PRIMITAKA (šifre Y345-X678)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Y005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101.274,29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w:t>
            </w:r>
          </w:p>
        </w:tc>
      </w:tr>
    </w:tbl>
    <w:p>
      <w:pPr>
        <w:spacing w:before="0" w:after="0"/>
      </w:pPr>
    </w:p>
    <w:p>
      <w:r>
        <w:t xml:space="preserve">U razdoblju 1.1.2025-31.12.2025. prihodi poslovanja manji su u odnosu na 2024. godinu za 19%. Najveće smanjenje je kod šifre 6712 - Prihodi iz nadležnog proračuna za financiranje rashoda za nabavu nefinancijske imovine. Prethodne dvije godine provodila se energetska obnova područne škole financirana od strane Osnivača. Obnova je završena te su navedeni prihodi manji.   Ukupni rashodi poslovanja u navedenom razdoblju u odnosu na isto razdoblje 2024. g. veći su za 13%. Razlog tome je knjiženje plaće za prosinac 2024. godine na teret 2025. godine. Samim time najveće odstupanje rashoda odnosi se na rashode na zaposlene. Isto tako plaća za prosinac  knjižena je na teret razdoblja 1.1.2025-31.12.2025. dok će se prihod za istu priznati u siječnju 2026. Zbog toga je nastao manjak prihoda poslovanja. Tu su i rashodi vezani za prehranu učenika trošak je nastao u prosincu, a MZOM će sredstva doznačiti u siječnju.  U 2025. godini Škola nije ostvarila prihoda od prodaje nefinancijske imovine, ali smo imali preneseni višak prihoda nefinancijske imovine iz 2024. godine (15.200,00 eur). Rashodi za nabavu nefinancijske imovine financirani su od navedenog viška iz 2024.g, ostatak je financiran iz kapitalnih pomoći Općine, MZOM  i Osnivača, a odnose se na obnovu podova tri učione, obnovu sanitarnog čvora u matičnoj školi, kupnji dva kompleta učioničkog namještaja, nabavu glazbenih instrumenata i dr. opreme.  Nakon dodavanja prenesenog viška prihoda iz 2024. g Ukupan manjak prihoda za pokriće u sljedećem razdoblju je 78.640,54 koji je nastao zbog knjiženja 13 plaća na teret 2025. godine.</w:t>
      </w:r>
    </w:p>
    <w:p>
      <w:r>
        <w:br/>
      </w:r>
    </w:p>
    <w:p>
      <w:pPr>
        <w:jc w:val="center"/>
        <w:pStyle w:val="Normal"/>
        <w:spacing w:line="240" w:lineRule="auto"/>
        <w:keepNext/>
      </w:pPr>
      <w:r>
        <w:rPr>
          <w:sz w:val="28"/>
          <w:rFonts w:ascii="Times New Roman" w:hAnsi="Times New Roman"/>
        </w:rPr>
        <w:t xml:space="preserve">Bilješka 2.</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6362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Kapitalne pomoći proračunskim korisnicima iz proračuna koji im nije nadležan</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6362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33.425,86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46.981,51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140,6</w:t>
            </w:r>
          </w:p>
        </w:tc>
      </w:tr>
    </w:tbl>
    <w:p>
      <w:pPr>
        <w:spacing w:before="0" w:after="0"/>
      </w:pPr>
    </w:p>
    <w:p>
      <w:r>
        <w:t xml:space="preserve">Općina Plaški financirala je obnovu tri učione - epoksi podloga i kupnju dva kompleta namještaja, glazbene instrumente za potrebe izvođenja izvannastave aktivnosti tamburaške sekcije. Tu su i sredstva MZOM za nabavu udžbenika i lektirne građe. </w:t>
      </w:r>
    </w:p>
    <w:p/>
    <w:p>
      <w:pPr>
        <w:jc w:val="center"/>
        <w:pStyle w:val="Normal"/>
        <w:spacing w:line="240" w:lineRule="auto"/>
        <w:keepNext/>
      </w:pPr>
      <w:r>
        <w:rPr>
          <w:sz w:val="28"/>
          <w:rFonts w:ascii="Times New Roman" w:hAnsi="Times New Roman"/>
        </w:rPr>
        <w:t xml:space="preserve">Bilješka 3.</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6614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Prihodi od prodaje proizvoda i robe</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6614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70,00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350,0</w:t>
            </w:r>
          </w:p>
        </w:tc>
      </w:tr>
    </w:tbl>
    <w:p>
      <w:pPr>
        <w:spacing w:before="0" w:after="0"/>
      </w:pPr>
    </w:p>
    <w:p>
      <w:r>
        <w:t xml:space="preserve">Povećanje se odnosi na prodaju stare opreme.</w:t>
      </w:r>
    </w:p>
    <w:p/>
    <w:p>
      <w:pPr>
        <w:jc w:val="center"/>
        <w:pStyle w:val="Normal"/>
        <w:spacing w:line="240" w:lineRule="auto"/>
        <w:keepNext/>
      </w:pPr>
      <w:r>
        <w:rPr>
          <w:sz w:val="28"/>
          <w:rFonts w:ascii="Times New Roman" w:hAnsi="Times New Roman"/>
        </w:rPr>
        <w:t xml:space="preserve">Bilješka 4.</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6712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Prihodi iz nadležnog proračuna za financiranje rashoda za nabavu nefinancijske imovine</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6712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371.796,52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8.273,97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2,2</w:t>
            </w:r>
          </w:p>
        </w:tc>
      </w:tr>
    </w:tbl>
    <w:p>
      <w:pPr>
        <w:spacing w:before="0" w:after="0"/>
      </w:pPr>
    </w:p>
    <w:p>
      <w:r>
        <w:t xml:space="preserve">Prethodne dvije godine provodila se energetska obnova područne škole financirana od strane Osnivača. Obnova je završena te su navedeni prihodi manji</w:t>
      </w:r>
    </w:p>
    <w:p/>
    <w:p>
      <w:pPr>
        <w:jc w:val="center"/>
        <w:pStyle w:val="Normal"/>
        <w:spacing w:line="240" w:lineRule="auto"/>
        <w:keepNext/>
      </w:pPr>
      <w:r>
        <w:rPr>
          <w:sz w:val="28"/>
          <w:rFonts w:ascii="Times New Roman" w:hAnsi="Times New Roman"/>
        </w:rPr>
        <w:t xml:space="preserve">Bilješka 5.</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Usluge tekućeg i investicijskog održavanja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6.088,70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13.537,28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222,3</w:t>
            </w:r>
          </w:p>
        </w:tc>
      </w:tr>
    </w:tbl>
    <w:p>
      <w:pPr>
        <w:spacing w:before="0" w:after="0"/>
      </w:pPr>
    </w:p>
    <w:p>
      <w:r>
        <w:t xml:space="preserve">Povećanje se odnosi na servis i popravak kombija, servis i popravak plamenika u kotlovnici, servis rekuperatora u učionama. </w:t>
      </w:r>
    </w:p>
    <w:p/>
    <w:p>
      <w:pPr>
        <w:jc w:val="center"/>
        <w:pStyle w:val="Normal"/>
        <w:spacing w:line="240" w:lineRule="auto"/>
        <w:keepNext/>
      </w:pPr>
      <w:r>
        <w:rPr>
          <w:sz w:val="28"/>
          <w:rFonts w:ascii="Times New Roman" w:hAnsi="Times New Roman"/>
        </w:rPr>
        <w:t xml:space="preserve">Bilješka 6.</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Usluge promidžbe i informiranja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1.236,12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2.497,39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202,0</w:t>
            </w:r>
          </w:p>
        </w:tc>
      </w:tr>
    </w:tbl>
    <w:p>
      <w:pPr>
        <w:spacing w:before="0" w:after="0"/>
      </w:pPr>
    </w:p>
    <w:p>
      <w:r>
        <w:t xml:space="preserve">U 2025. tiskan je školski list, također kroz projekt Dijete svijetla financiran od strane MZOM izrađene su i tiskane dvije slikovnice o Nikoli Tesli.</w:t>
      </w:r>
    </w:p>
    <w:p/>
    <w:p>
      <w:pPr>
        <w:jc w:val="center"/>
        <w:pStyle w:val="Normal"/>
        <w:spacing w:line="240" w:lineRule="auto"/>
        <w:keepNext/>
      </w:pPr>
      <w:r>
        <w:rPr>
          <w:sz w:val="28"/>
          <w:rFonts w:ascii="Times New Roman" w:hAnsi="Times New Roman"/>
        </w:rPr>
        <w:t xml:space="preserve">Bilješka 7.</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Financijski rashodi (šifre 341+342+343)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909,92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391,78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43,1</w:t>
            </w:r>
          </w:p>
        </w:tc>
      </w:tr>
    </w:tbl>
    <w:p>
      <w:pPr>
        <w:spacing w:before="0" w:after="0"/>
      </w:pPr>
    </w:p>
    <w:p>
      <w:r>
        <w:t xml:space="preserve">Od travnja 2025. škola posluje preko jedinstvenog računa Karlovačke županije time su se i navedeni rashodi smanjili.</w:t>
      </w:r>
    </w:p>
    <w:p/>
    <w:p>
      <w:pPr>
        <w:jc w:val="center"/>
        <w:pStyle w:val="Normal"/>
        <w:spacing w:line="240" w:lineRule="auto"/>
        <w:keepNext/>
      </w:pPr>
      <w:r>
        <w:rPr>
          <w:sz w:val="28"/>
          <w:rFonts w:ascii="Times New Roman" w:hAnsi="Times New Roman"/>
        </w:rPr>
        <w:t xml:space="preserve">Bilješka 8.</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96</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Obračunati prihodi poslovanja - nenaplaćeni</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96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1.811,14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93.009,34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5135,4</w:t>
            </w:r>
          </w:p>
        </w:tc>
      </w:tr>
    </w:tbl>
    <w:p>
      <w:pPr>
        <w:spacing w:before="0" w:after="0"/>
      </w:pPr>
    </w:p>
    <w:p>
      <w:r>
        <w:t xml:space="preserve">Potraživanja se odnose na potraživanja za plaće i materijalna prava, potraživanje MZOM za troškove prehrane učenika.</w:t>
      </w:r>
    </w:p>
    <w:p/>
    <w:p>
      <w:pPr>
        <w:jc w:val="center"/>
        <w:pStyle w:val="Normal"/>
        <w:spacing w:line="240" w:lineRule="auto"/>
        <w:keepNext/>
      </w:pPr>
      <w:r>
        <w:rPr>
          <w:sz w:val="28"/>
          <w:rFonts w:ascii="Times New Roman" w:hAnsi="Times New Roman"/>
        </w:rPr>
        <w:t xml:space="preserve">Bilješka 9.</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Rashodi za nabavu nefinancijske imovine (šifre 41+42+43+44+45)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277.004,82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66.853,73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24,1</w:t>
            </w:r>
          </w:p>
        </w:tc>
      </w:tr>
    </w:tbl>
    <w:p>
      <w:pPr>
        <w:spacing w:before="0" w:after="0"/>
      </w:pPr>
    </w:p>
    <w:p>
      <w:r>
        <w:t xml:space="preserve">Prošlo izvještajno razdoblje završena je energetska obnova područne škole, zbog toga je rashod u ovom razdoblju manji.</w:t>
      </w:r>
    </w:p>
    <w:p/>
    <w:p>
      <w:pPr>
        <w:jc w:val="center"/>
        <w:pStyle w:val="Normal"/>
        <w:spacing w:line="240" w:lineRule="auto"/>
        <w:keepNext/>
      </w:pPr>
      <w:r>
        <w:rPr>
          <w:sz w:val="28"/>
          <w:rFonts w:ascii="Times New Roman" w:hAnsi="Times New Roman"/>
        </w:rPr>
        <w:t xml:space="preserve">Bilješka 10.</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4226</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Sportska i glazbena oprema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4226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777,40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5.000,00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643,2</w:t>
            </w:r>
          </w:p>
        </w:tc>
      </w:tr>
    </w:tbl>
    <w:p>
      <w:pPr>
        <w:spacing w:before="0" w:after="0"/>
      </w:pPr>
    </w:p>
    <w:p>
      <w:r>
        <w:t xml:space="preserve">Nabavljeni su glazbeni instrumenti za potrebe izvođena izvannastavne aktivnosti tamburaške sekcije. </w:t>
      </w:r>
    </w:p>
    <w:p/>
    <w:p>
      <w:pPr>
        <w:jc w:val="center"/>
        <w:pStyle w:val="Normal"/>
        <w:spacing w:line="240" w:lineRule="auto"/>
        <w:keepNext/>
      </w:pPr>
      <w:r>
        <w:rPr>
          <w:sz w:val="28"/>
          <w:rFonts w:ascii="Times New Roman" w:hAnsi="Times New Roman"/>
        </w:rPr>
        <w:t xml:space="preserve">Bilješka 11.</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11-dugov.</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Ukupni priljevi na novčane račune i blagajne</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11-dugov.</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297.428,91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61.299,10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20,6</w:t>
            </w:r>
          </w:p>
        </w:tc>
      </w:tr>
    </w:tbl>
    <w:p>
      <w:pPr>
        <w:spacing w:before="0" w:after="0"/>
      </w:pPr>
    </w:p>
    <w:p>
      <w:r>
        <w:t xml:space="preserve">Odlukom Osnivača Školi je ukinut poslovni račun te od 1.4.2025. poslujemo preko jedinstvenog računa Riznice Karlovačke županije.</w:t>
      </w:r>
    </w:p>
    <w:p/>
    <w:p>
      <w:pPr>
        <w:jc w:val="center"/>
        <w:pStyle w:val="Normal"/>
        <w:spacing w:line="240" w:lineRule="auto"/>
        <w:keepNext/>
      </w:pPr>
      <w:r>
        <w:rPr>
          <w:sz w:val="28"/>
          <w:rFonts w:ascii="Times New Roman" w:hAnsi="Times New Roman"/>
        </w:rPr>
        <w:t xml:space="preserve">Bilješka 12.</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32372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Ugovori o djelu</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32372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2.592,36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6.309,84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243,4</w:t>
            </w:r>
          </w:p>
        </w:tc>
      </w:tr>
    </w:tbl>
    <w:p>
      <w:pPr>
        <w:spacing w:before="0" w:after="0"/>
      </w:pPr>
    </w:p>
    <w:p>
      <w:r>
        <w:t xml:space="preserve">Općina je financirala ugovor o djelu domaru koji je obavljao poslove za potrebe vrtića koji se nalazi u školi. Tu je i ugovor o djelu e-tehničara i učitelja tamburaške sekcije koji je također financiran od strane općine Plaški.</w:t>
      </w:r>
    </w:p>
    <w:p/>
    <w:p>
      <w:pPr>
        <w:jc w:val="center"/>
        <w:pStyle w:val="Normal"/>
        <w:spacing w:line="240" w:lineRule="auto"/>
        <w:keepNext/>
      </w:pPr>
      <w:r>
        <w:rPr>
          <w:b/>
          <w:sz w:val="28"/>
          <w:rFonts w:ascii="Times New Roman" w:hAnsi="Times New Roman"/>
        </w:rPr>
        <w:t xml:space="preserve">Bilanca</w:t>
      </w:r>
    </w:p>
    <w:p>
      <w:pPr>
        <w:jc w:val="center"/>
        <w:pStyle w:val="Normal"/>
        <w:spacing w:line="240" w:lineRule="auto"/>
        <w:keepNext/>
      </w:pPr>
      <w:r>
        <w:rPr>
          <w:sz w:val="28"/>
          <w:rFonts w:ascii="Times New Roman" w:hAnsi="Times New Roman"/>
        </w:rPr>
        <w:t xml:space="preserve">Bilješka 13.</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Stanje 1. siječnja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Stanje 31. prosinca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0226</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Sportska i glazbena oprema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0226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6.069,21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11.069,21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182,4</w:t>
            </w:r>
          </w:p>
        </w:tc>
      </w:tr>
    </w:tbl>
    <w:p>
      <w:pPr>
        <w:spacing w:before="0" w:after="0"/>
      </w:pPr>
    </w:p>
    <w:p>
      <w:r>
        <w:t xml:space="preserve">Nabavljeni su glazbeni instrumenti za potrebe tamburaške sekcije.</w:t>
      </w:r>
    </w:p>
    <w:p/>
    <w:p>
      <w:pPr>
        <w:jc w:val="center"/>
        <w:pStyle w:val="Normal"/>
        <w:spacing w:line="240" w:lineRule="auto"/>
        <w:keepNext/>
      </w:pPr>
      <w:r>
        <w:rPr>
          <w:sz w:val="28"/>
          <w:rFonts w:ascii="Times New Roman" w:hAnsi="Times New Roman"/>
        </w:rPr>
        <w:t xml:space="preserve">Bilješka 14.</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Stanje 1. siječnja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Stanje 31. prosinca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02924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Ispravak vrijednosti knjiga, umjetničkih djela i ostalih izložbenih vrijednosti</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02924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62.679,96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92.006,05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146,8</w:t>
            </w:r>
          </w:p>
        </w:tc>
      </w:tr>
    </w:tbl>
    <w:p>
      <w:pPr>
        <w:spacing w:before="0" w:after="0"/>
      </w:pPr>
    </w:p>
    <w:p>
      <w:r>
        <w:t xml:space="preserve">Donesena je odluka o jednokratnom ispravku vrijednosti udžbenika nabavljenih od strane MZOM.</w:t>
      </w:r>
    </w:p>
    <w:p/>
    <w:p>
      <w:pPr>
        <w:jc w:val="center"/>
        <w:pStyle w:val="Normal"/>
        <w:spacing w:line="240" w:lineRule="auto"/>
        <w:keepNext/>
      </w:pPr>
      <w:r>
        <w:rPr>
          <w:sz w:val="28"/>
          <w:rFonts w:ascii="Times New Roman" w:hAnsi="Times New Roman"/>
        </w:rPr>
        <w:t xml:space="preserve">Bilješka 15.</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Stanje 1. siječnja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Stanje 31. prosinca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16</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Potraživanja za prihode poslovanja (šifre 161 do 163 + 164 do 168-169)</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16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17.011,14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107.420,04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631,5</w:t>
            </w:r>
          </w:p>
        </w:tc>
      </w:tr>
    </w:tbl>
    <w:p>
      <w:pPr>
        <w:spacing w:before="0" w:after="0"/>
      </w:pPr>
    </w:p>
    <w:p>
      <w:r>
        <w:t xml:space="preserve">Potraživanja za plaće od općine i MZOM, potraživanje sredstava za prehranu učenika od MZOM. Izlazni računi za vrtić i dvoranu.</w:t>
      </w:r>
    </w:p>
    <w:p/>
    <w:p>
      <w:pPr>
        <w:jc w:val="center"/>
        <w:pStyle w:val="Normal"/>
        <w:spacing w:line="240" w:lineRule="auto"/>
        <w:keepNext/>
      </w:pPr>
      <w:r>
        <w:rPr>
          <w:sz w:val="28"/>
          <w:rFonts w:ascii="Times New Roman" w:hAnsi="Times New Roman"/>
        </w:rPr>
        <w:t xml:space="preserve">Bilješka 16.</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Stanje 1. siječnja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Stanje 31. prosinca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Obveze (šifre 23+24+25+26+27+29)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71.514,80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93.185,41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130,3</w:t>
            </w:r>
          </w:p>
        </w:tc>
      </w:tr>
    </w:tbl>
    <w:p>
      <w:pPr>
        <w:spacing w:before="0" w:after="0"/>
      </w:pPr>
    </w:p>
    <w:p>
      <w:r>
        <w:t xml:space="preserve">Najveće povećanje u odnosu na 2024. godinu su obveze za zaposlene zbog rasta plaća tijekom 2025. godine.</w:t>
      </w:r>
    </w:p>
    <w:p/>
    <w:p>
      <w:pPr>
        <w:jc w:val="center"/>
        <w:pStyle w:val="Normal"/>
        <w:spacing w:line="240" w:lineRule="auto"/>
        <w:keepNext/>
      </w:pPr>
      <w:r>
        <w:rPr>
          <w:sz w:val="28"/>
          <w:rFonts w:ascii="Times New Roman" w:hAnsi="Times New Roman"/>
        </w:rPr>
        <w:t xml:space="preserve">Bilješka 17.</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Stanje 1. siječnja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Stanje 31. prosinca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922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Rezultat - višak/manjak (šifre 9221-9222)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922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22.633,75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-78.640,54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-347,4</w:t>
            </w:r>
          </w:p>
        </w:tc>
      </w:tr>
    </w:tbl>
    <w:p>
      <w:pPr>
        <w:spacing w:before="0" w:after="0"/>
      </w:pPr>
    </w:p>
    <w:p>
      <w:r>
        <w:t xml:space="preserve">Manjak je nastao zbog knjiženja rashoda za 13 plaća na teret 2025. godine. Manjak će se pokriti uplatama Općine i MZOM u siječnju.</w:t>
      </w:r>
    </w:p>
    <w:p/>
    <w:p>
      <w:pPr>
        <w:jc w:val="center"/>
        <w:pStyle w:val="Normal"/>
        <w:spacing w:line="240" w:lineRule="auto"/>
        <w:keepNext/>
      </w:pPr>
      <w:r>
        <w:rPr>
          <w:sz w:val="28"/>
          <w:rFonts w:ascii="Times New Roman" w:hAnsi="Times New Roman"/>
        </w:rPr>
        <w:t xml:space="preserve">Bilješka 18.</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Stanje 1. siječnja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Stanje 31. prosinca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92212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Višak prihoda od nefinancijske imovine</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92212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12.009,67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4.378,75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36,5</w:t>
            </w:r>
          </w:p>
        </w:tc>
      </w:tr>
    </w:tbl>
    <w:p>
      <w:pPr>
        <w:spacing w:before="0" w:after="0"/>
      </w:pPr>
    </w:p>
    <w:p>
      <w:r>
        <w:t xml:space="preserve">Sredstva uplaćena od Općine Plaški za nabavu učioničkog namještaja. </w:t>
      </w:r>
    </w:p>
    <w:p/>
    <w:p>
      <w:pPr>
        <w:jc w:val="center"/>
        <w:pStyle w:val="Normal"/>
        <w:spacing w:line="240" w:lineRule="auto"/>
        <w:keepNext/>
      </w:pPr>
      <w:r>
        <w:rPr>
          <w:b/>
          <w:sz w:val="28"/>
          <w:rFonts w:ascii="Times New Roman" w:hAnsi="Times New Roman"/>
        </w:rPr>
        <w:t xml:space="preserve">Izvještaj o rashodima prema funkcijskoj klasifikaciji</w:t>
      </w:r>
    </w:p>
    <w:p>
      <w:pPr>
        <w:jc w:val="center"/>
        <w:pStyle w:val="Normal"/>
        <w:spacing w:line="240" w:lineRule="auto"/>
        <w:keepNext/>
      </w:pPr>
      <w:r>
        <w:rPr>
          <w:sz w:val="28"/>
          <w:rFonts w:ascii="Times New Roman" w:hAnsi="Times New Roman"/>
        </w:rPr>
        <w:t xml:space="preserve">Bilješka 19.</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096</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Dodatne usluge u obrazovanju</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096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15.606,32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41.641,88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266,8</w:t>
            </w:r>
          </w:p>
        </w:tc>
      </w:tr>
    </w:tbl>
    <w:p>
      <w:pPr>
        <w:spacing w:before="0" w:after="0"/>
      </w:pPr>
    </w:p>
    <w:p>
      <w:r>
        <w:t xml:space="preserve">Sredstvima prodane škole financirana je obnova sanitarnog čvora u prizemlju škole, kroz "Županijske javne potrebe" financirana je izrada idejnog plana za potrebe škole u prirodi u prostoru područne škole. Povećani su troškovi vezani za pomoćnike u nastavi - povećanje stanice i nastavak ugovora u ljetnim mjesecima. </w:t>
      </w:r>
    </w:p>
    <w:p/>
    <w:p>
      <w:pPr>
        <w:jc w:val="center"/>
        <w:pStyle w:val="Normal"/>
        <w:spacing w:line="240" w:lineRule="auto"/>
        <w:keepNext/>
      </w:pPr>
      <w:r>
        <w:rPr>
          <w:b/>
          <w:sz w:val="28"/>
          <w:rFonts w:ascii="Times New Roman" w:hAnsi="Times New Roman"/>
        </w:rPr>
        <w:t xml:space="preserve">Promjene u vrijednosti i obujmu imovine i obveza</w:t>
      </w:r>
    </w:p>
    <w:p>
      <w:pPr>
        <w:jc w:val="center"/>
        <w:pStyle w:val="Normal"/>
        <w:spacing w:line="240" w:lineRule="auto"/>
        <w:keepNext/>
      </w:pPr>
      <w:r>
        <w:rPr>
          <w:sz w:val="28"/>
          <w:rFonts w:ascii="Times New Roman" w:hAnsi="Times New Roman"/>
        </w:rPr>
        <w:t xml:space="preserve">Bilješka 20.</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Iznos povećanja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Iznos smanjenja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9151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Promjene u vrijednosti i obujmu imovine (šifre 91511+91512)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9151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48.396,65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56.288,78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116,3</w:t>
            </w:r>
          </w:p>
        </w:tc>
      </w:tr>
    </w:tbl>
    <w:p>
      <w:pPr>
        <w:spacing w:before="0" w:after="0"/>
      </w:pPr>
    </w:p>
    <w:p>
      <w:r>
        <w:t xml:space="preserve">Povećanje se odnosi na uređenje igrališta područne škole koje financirala i dala Školi na korištenje općina Saborsko. Smanjenje se odnosi ispravak vrijednosti opreme i građevinskih objekata za 2025. godinu.</w:t>
      </w:r>
    </w:p>
    <w:p/>
    <w:p>
      <w:pPr>
        <w:jc w:val="center"/>
        <w:pStyle w:val="Normal"/>
        <w:spacing w:line="240" w:lineRule="auto"/>
        <w:keepNext/>
      </w:pPr>
      <w:r>
        <w:rPr>
          <w:b/>
          <w:sz w:val="28"/>
          <w:rFonts w:ascii="Times New Roman" w:hAnsi="Times New Roman"/>
        </w:rPr>
        <w:t xml:space="preserve">Izvještaj o obvezama</w:t>
      </w:r>
    </w:p>
    <w:p>
      <w:pPr>
        <w:jc w:val="center"/>
        <w:pStyle w:val="Normal"/>
        <w:spacing w:line="240" w:lineRule="auto"/>
        <w:keepNext/>
      </w:pPr>
      <w:r>
        <w:rPr>
          <w:sz w:val="28"/>
          <w:rFonts w:ascii="Times New Roman" w:hAnsi="Times New Roman"/>
        </w:rPr>
        <w:t xml:space="preserve">Bilješka 21.</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Iznos</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Stanje dospjelih obveza na kraju izvještajnog razdoblja (šifre V008+D23+D24 + 'D dio 25,26' + D27)</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V007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3.346,70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r>
        <w:t xml:space="preserve">Dospjele obveze se odnose na troškove prehrane učenika financirane od strane MZOM. Računi su knjiženi kad je trošak nastao - u prosincu, a nadležno ministarstvo sredstva doznačuje u siječnju, kada će računi biti i plaćeni. </w:t>
      </w:r>
    </w:p>
    <w:p/>
    <w:p>
      <w:pPr>
        <w:jc w:val="center"/>
        <w:pStyle w:val="Normal"/>
        <w:spacing w:line="240" w:lineRule="auto"/>
        <w:keepNext/>
      </w:pPr>
      <w:r>
        <w:rPr>
          <w:sz w:val="28"/>
          <w:rFonts w:ascii="Times New Roman" w:hAnsi="Times New Roman"/>
        </w:rPr>
        <w:t xml:space="preserve">Bilješka 22.</w:t>
      </w:r>
    </w:p>
    <w:p>
      <w:pPr>
        <w:jc w:val="both"/>
        <w:pStyle w:val="Normal"/>
        <w:spacing w:line="240" w:lineRule="auto"/>
      </w:pPr>
      <w:r>
        <w:rPr>
          <w:b/>
          <w:sz w:val="24"/>
          <w:rFonts w:ascii="Times New Roman" w:hAnsi="Times New Roman"/>
        </w:rPr>
        <w:t xml:space="preserve">EU izvještaj</w:t>
      </w:r>
    </w:p>
    <w:p>
      <w:r>
        <w:t xml:space="preserve">Osnovna škola Plaški sudjeluje u projektu "Karlovačka županija za inkluzivne škole" te upošljavamo jednog pomoćnika u nastavi za dijete s teškoćama u razvoju. Cjelokupni iznos u izvještaju odnosi se na troškove tog projekta - plaća i svi ostali materijalni rashodi koji se odnose na pomoćnika u nastavi.</w:t>
      </w:r>
    </w:p>
    <w:p>
      <w:r>
        <w:t xml:space="preserve"> </w:t>
      </w:r>
    </w:p>
    <w:p/>
  </w:body>
</w:document>
</file>

<file path=word/styles.xml><?xml version="1.0" encoding="utf-8"?>
<w:styles xmlns:w="http://schemas.openxmlformats.org/wordprocessingml/2006/main">
  <w:docDefaults>
    <w:rPrDefault>
      <w:rPr>
        <w:rFonts w:ascii="Times New Roman" w:hAnsi="Times New Roman"/>
        <w:sz w:val="24"/>
      </w:rPr>
    </w:rPrDefault>
  </w:docDefaults>
  <w:style w:type="paragraph" w:styleId="Normal" w:default="true">
    <w:name w:val="Normal"/>
    <w:rPr>
      <w:rFonts w:ascii="Times New Roman" w:hAnsi="Times New Roman"/>
      <w:sz w:val="24"/>
    </w:rPr>
  </w:style>
</w:styles>
</file>

<file path=word/_rels/document.xml.rels>&#65279;<?xml version="1.0" encoding="utf-8"?><Relationships xmlns="http://schemas.openxmlformats.org/package/2006/relationships"><Relationship Type="http://schemas.openxmlformats.org/officeDocument/2006/relationships/styles" Target="/word/styles.xml" Id="Rca3ee63763944728" /></Relationships>
</file>